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77B60" w14:textId="311B5F24" w:rsidR="008E0859" w:rsidRPr="008E0859" w:rsidRDefault="008E0859" w:rsidP="008E0859">
      <w:pPr>
        <w:rPr>
          <w:b/>
          <w:bCs/>
        </w:rPr>
      </w:pPr>
      <w:r>
        <w:rPr>
          <w:b/>
          <w:bCs/>
        </w:rPr>
        <w:t>T</w:t>
      </w:r>
      <w:r w:rsidRPr="008E0859">
        <w:rPr>
          <w:b/>
          <w:bCs/>
        </w:rPr>
        <w:t>he role of gas injection rate on the advective movement of gas in Opalinus Clay at the field scale</w:t>
      </w:r>
    </w:p>
    <w:p w14:paraId="4684CB32" w14:textId="425213E6" w:rsidR="008E0859" w:rsidRPr="008E0859" w:rsidRDefault="008E0859" w:rsidP="008E0859">
      <w:r w:rsidRPr="008E0859">
        <w:t>Robert Cuss, Jocelyn Gisiger, Antonio Rinaldi, Elliot Bird, David Jaeggi, Matthijs Nuus, Manuel Sentis, Bastian Graupner, Frédéric Bernier, Fabien Magri, and Jon Harrington</w:t>
      </w:r>
    </w:p>
    <w:p w14:paraId="4BF12E53" w14:textId="77777777" w:rsidR="008E0859" w:rsidRDefault="008E0859"/>
    <w:p w14:paraId="7A3FDA74" w14:textId="75B91863" w:rsidR="004D45AF" w:rsidRDefault="000B6C75">
      <w:r>
        <w:t>This table lists all comments</w:t>
      </w:r>
      <w:r w:rsidR="009649DB">
        <w:t xml:space="preserve"> that were made by Reviewer 1 and Reviewer 2 (Bill Lanyon), including all comments that Reviewer 2 made on the accompanying</w:t>
      </w:r>
      <w:r w:rsidR="00B66ABB">
        <w:t xml:space="preserve"> pdf. Our reply is listed. A version of the paper has been submitted with track changes and comments</w:t>
      </w:r>
      <w:r w:rsidR="008E0859">
        <w:t>/replies, as well as a final version for re-consideration.</w:t>
      </w:r>
    </w:p>
    <w:tbl>
      <w:tblPr>
        <w:tblStyle w:val="TableGrid"/>
        <w:tblW w:w="14029" w:type="dxa"/>
        <w:tblLook w:val="04A0" w:firstRow="1" w:lastRow="0" w:firstColumn="1" w:lastColumn="0" w:noHBand="0" w:noVBand="1"/>
      </w:tblPr>
      <w:tblGrid>
        <w:gridCol w:w="538"/>
        <w:gridCol w:w="920"/>
        <w:gridCol w:w="6285"/>
        <w:gridCol w:w="6286"/>
      </w:tblGrid>
      <w:tr w:rsidR="004D45AF" w:rsidRPr="00A75EB3" w14:paraId="6B4E1DE0" w14:textId="77777777" w:rsidTr="000B6C75">
        <w:tc>
          <w:tcPr>
            <w:tcW w:w="538" w:type="dxa"/>
            <w:vAlign w:val="bottom"/>
          </w:tcPr>
          <w:p w14:paraId="28518ECA" w14:textId="77777777" w:rsidR="004D45AF" w:rsidRPr="00A75EB3" w:rsidRDefault="004D45AF" w:rsidP="00F70769">
            <w:pPr>
              <w:rPr>
                <w:b/>
                <w:bCs/>
              </w:rPr>
            </w:pPr>
            <w:r w:rsidRPr="00A75EB3">
              <w:rPr>
                <w:rFonts w:ascii="Calibri" w:hAnsi="Calibri" w:cs="Calibri"/>
                <w:b/>
                <w:bCs/>
              </w:rPr>
              <w:t>No.</w:t>
            </w:r>
          </w:p>
        </w:tc>
        <w:tc>
          <w:tcPr>
            <w:tcW w:w="920" w:type="dxa"/>
            <w:vAlign w:val="bottom"/>
          </w:tcPr>
          <w:p w14:paraId="5BDFA975" w14:textId="77777777" w:rsidR="004D45AF" w:rsidRPr="00A75EB3" w:rsidRDefault="004D45AF" w:rsidP="00F70769">
            <w:pPr>
              <w:rPr>
                <w:b/>
                <w:bCs/>
              </w:rPr>
            </w:pPr>
            <w:r w:rsidRPr="00A75EB3">
              <w:rPr>
                <w:rFonts w:ascii="Calibri" w:hAnsi="Calibri" w:cs="Calibri"/>
                <w:b/>
                <w:bCs/>
              </w:rPr>
              <w:t>Referee</w:t>
            </w:r>
          </w:p>
        </w:tc>
        <w:tc>
          <w:tcPr>
            <w:tcW w:w="6285" w:type="dxa"/>
            <w:vAlign w:val="center"/>
          </w:tcPr>
          <w:p w14:paraId="2E74D1AF" w14:textId="77777777" w:rsidR="004D45AF" w:rsidRPr="00A75EB3" w:rsidRDefault="004D45AF" w:rsidP="000B6C75">
            <w:pPr>
              <w:rPr>
                <w:b/>
                <w:bCs/>
              </w:rPr>
            </w:pPr>
            <w:r w:rsidRPr="00A75EB3">
              <w:rPr>
                <w:rFonts w:ascii="Calibri" w:hAnsi="Calibri" w:cs="Calibri"/>
                <w:b/>
                <w:bCs/>
              </w:rPr>
              <w:t>Comment</w:t>
            </w:r>
          </w:p>
        </w:tc>
        <w:tc>
          <w:tcPr>
            <w:tcW w:w="6286" w:type="dxa"/>
            <w:vAlign w:val="center"/>
          </w:tcPr>
          <w:p w14:paraId="529CFACB" w14:textId="77777777" w:rsidR="004D45AF" w:rsidRPr="00A75EB3" w:rsidRDefault="004D45AF" w:rsidP="000B6C75">
            <w:pPr>
              <w:rPr>
                <w:b/>
                <w:bCs/>
              </w:rPr>
            </w:pPr>
            <w:r w:rsidRPr="00A75EB3">
              <w:rPr>
                <w:rFonts w:ascii="Calibri" w:hAnsi="Calibri" w:cs="Calibri"/>
                <w:b/>
                <w:bCs/>
              </w:rPr>
              <w:t>Reply</w:t>
            </w:r>
          </w:p>
        </w:tc>
      </w:tr>
      <w:tr w:rsidR="004D45AF" w:rsidRPr="00A75EB3" w14:paraId="741A473B" w14:textId="77777777" w:rsidTr="000B6C75">
        <w:tc>
          <w:tcPr>
            <w:tcW w:w="538" w:type="dxa"/>
            <w:vAlign w:val="center"/>
          </w:tcPr>
          <w:p w14:paraId="2EDD1C4D" w14:textId="77777777" w:rsidR="004D45AF" w:rsidRPr="00A75EB3" w:rsidRDefault="004D45AF" w:rsidP="00F70769">
            <w:r w:rsidRPr="00A75EB3">
              <w:rPr>
                <w:rFonts w:ascii="Calibri" w:hAnsi="Calibri" w:cs="Calibri"/>
                <w:sz w:val="18"/>
                <w:szCs w:val="18"/>
              </w:rPr>
              <w:t>1</w:t>
            </w:r>
          </w:p>
        </w:tc>
        <w:tc>
          <w:tcPr>
            <w:tcW w:w="920" w:type="dxa"/>
            <w:vAlign w:val="center"/>
          </w:tcPr>
          <w:p w14:paraId="73938E9C" w14:textId="77777777" w:rsidR="004D45AF" w:rsidRPr="00A75EB3" w:rsidRDefault="004D45AF" w:rsidP="00F70769">
            <w:r w:rsidRPr="00A75EB3">
              <w:rPr>
                <w:rFonts w:ascii="Calibri" w:hAnsi="Calibri" w:cs="Calibri"/>
                <w:sz w:val="18"/>
                <w:szCs w:val="18"/>
              </w:rPr>
              <w:t>R1</w:t>
            </w:r>
          </w:p>
        </w:tc>
        <w:tc>
          <w:tcPr>
            <w:tcW w:w="6285" w:type="dxa"/>
            <w:vAlign w:val="center"/>
          </w:tcPr>
          <w:p w14:paraId="7ED2F24D" w14:textId="77777777" w:rsidR="004D45AF" w:rsidRPr="00A75EB3" w:rsidRDefault="004D45AF" w:rsidP="000B6C75">
            <w:r w:rsidRPr="00A75EB3">
              <w:rPr>
                <w:rFonts w:ascii="Segoe UI" w:hAnsi="Segoe UI" w:cs="Segoe UI"/>
                <w:i/>
                <w:iCs/>
                <w:sz w:val="18"/>
                <w:szCs w:val="18"/>
              </w:rPr>
              <w:t xml:space="preserve">I found the manuscript difficult to follow in places, and I have concerns about internal consistency in the conceptual framework. The distinction between "dilatancy" and "fracture" as presented here needs rethinking, and some of the fracture mechanics reasoning contains statements that are physically problematic for the system under consideration. </w:t>
            </w:r>
          </w:p>
        </w:tc>
        <w:tc>
          <w:tcPr>
            <w:tcW w:w="6286" w:type="dxa"/>
            <w:vAlign w:val="center"/>
          </w:tcPr>
          <w:p w14:paraId="7DA66915" w14:textId="77777777" w:rsidR="004D45AF" w:rsidRPr="00A75EB3" w:rsidRDefault="004D45AF" w:rsidP="000B6C75">
            <w:r w:rsidRPr="00A75EB3">
              <w:rPr>
                <w:rFonts w:ascii="Calibri" w:hAnsi="Calibri" w:cs="Calibri"/>
                <w:sz w:val="18"/>
                <w:szCs w:val="18"/>
              </w:rPr>
              <w:t>See comments below. This has now been addressed and hope the changes satisfy the reviewer.</w:t>
            </w:r>
          </w:p>
        </w:tc>
      </w:tr>
      <w:tr w:rsidR="004D45AF" w:rsidRPr="00A75EB3" w14:paraId="112E4443" w14:textId="77777777" w:rsidTr="000B6C75">
        <w:tc>
          <w:tcPr>
            <w:tcW w:w="538" w:type="dxa"/>
            <w:vAlign w:val="center"/>
          </w:tcPr>
          <w:p w14:paraId="2F2BA556" w14:textId="77777777" w:rsidR="004D45AF" w:rsidRPr="00A75EB3" w:rsidRDefault="004D45AF" w:rsidP="00F70769">
            <w:r w:rsidRPr="00A75EB3">
              <w:rPr>
                <w:rFonts w:ascii="Calibri" w:hAnsi="Calibri" w:cs="Calibri"/>
                <w:sz w:val="18"/>
                <w:szCs w:val="18"/>
              </w:rPr>
              <w:t>2</w:t>
            </w:r>
          </w:p>
        </w:tc>
        <w:tc>
          <w:tcPr>
            <w:tcW w:w="920" w:type="dxa"/>
            <w:vAlign w:val="center"/>
          </w:tcPr>
          <w:p w14:paraId="3872944F" w14:textId="77777777" w:rsidR="004D45AF" w:rsidRPr="00A75EB3" w:rsidRDefault="004D45AF" w:rsidP="00F70769">
            <w:r w:rsidRPr="00A75EB3">
              <w:rPr>
                <w:rFonts w:ascii="Calibri" w:hAnsi="Calibri" w:cs="Calibri"/>
                <w:sz w:val="18"/>
                <w:szCs w:val="18"/>
              </w:rPr>
              <w:t>BL</w:t>
            </w:r>
          </w:p>
        </w:tc>
        <w:tc>
          <w:tcPr>
            <w:tcW w:w="6285" w:type="dxa"/>
            <w:vAlign w:val="center"/>
          </w:tcPr>
          <w:p w14:paraId="1EB059CB" w14:textId="77777777" w:rsidR="004D45AF" w:rsidRPr="00A75EB3" w:rsidRDefault="004D45AF" w:rsidP="000B6C75">
            <w:r w:rsidRPr="00A75EB3">
              <w:rPr>
                <w:rFonts w:ascii="Segoe UI" w:hAnsi="Segoe UI" w:cs="Segoe UI"/>
                <w:i/>
                <w:iCs/>
                <w:sz w:val="18"/>
                <w:szCs w:val="18"/>
              </w:rPr>
              <w:t>And into parts of the repository where gas-accessible pore volumes can be used to mitigate the development of gas-related over-pressures.</w:t>
            </w:r>
          </w:p>
        </w:tc>
        <w:tc>
          <w:tcPr>
            <w:tcW w:w="6286" w:type="dxa"/>
            <w:vAlign w:val="center"/>
          </w:tcPr>
          <w:p w14:paraId="6E7171F9" w14:textId="77777777" w:rsidR="004D45AF" w:rsidRPr="00A75EB3" w:rsidRDefault="004D45AF" w:rsidP="000B6C75">
            <w:r w:rsidRPr="00A75EB3">
              <w:rPr>
                <w:rFonts w:ascii="Calibri" w:hAnsi="Calibri" w:cs="Calibri"/>
                <w:sz w:val="18"/>
                <w:szCs w:val="18"/>
              </w:rPr>
              <w:t>This sentence has been modified, but not fully as suggested. We get the point, and it is a good one, but in the early stages of the intro we feel this is too much information and makes the sentence clunky.</w:t>
            </w:r>
          </w:p>
        </w:tc>
      </w:tr>
      <w:tr w:rsidR="004D45AF" w:rsidRPr="00A75EB3" w14:paraId="04842D2F" w14:textId="77777777" w:rsidTr="000B6C75">
        <w:tc>
          <w:tcPr>
            <w:tcW w:w="538" w:type="dxa"/>
            <w:vAlign w:val="center"/>
          </w:tcPr>
          <w:p w14:paraId="36FD79E9" w14:textId="77777777" w:rsidR="004D45AF" w:rsidRPr="00A75EB3" w:rsidRDefault="004D45AF" w:rsidP="00F70769">
            <w:r w:rsidRPr="00A75EB3">
              <w:rPr>
                <w:rFonts w:ascii="Calibri" w:hAnsi="Calibri" w:cs="Calibri"/>
                <w:sz w:val="18"/>
                <w:szCs w:val="18"/>
              </w:rPr>
              <w:t>3</w:t>
            </w:r>
          </w:p>
        </w:tc>
        <w:tc>
          <w:tcPr>
            <w:tcW w:w="920" w:type="dxa"/>
            <w:vAlign w:val="center"/>
          </w:tcPr>
          <w:p w14:paraId="353AA2A2" w14:textId="77777777" w:rsidR="004D45AF" w:rsidRPr="00A75EB3" w:rsidRDefault="004D45AF" w:rsidP="00F70769">
            <w:r w:rsidRPr="00A75EB3">
              <w:rPr>
                <w:rFonts w:ascii="Calibri" w:hAnsi="Calibri" w:cs="Calibri"/>
                <w:sz w:val="18"/>
                <w:szCs w:val="18"/>
              </w:rPr>
              <w:t>R1</w:t>
            </w:r>
          </w:p>
        </w:tc>
        <w:tc>
          <w:tcPr>
            <w:tcW w:w="6285" w:type="dxa"/>
            <w:vAlign w:val="center"/>
          </w:tcPr>
          <w:p w14:paraId="257DE32A" w14:textId="77777777" w:rsidR="004D45AF" w:rsidRPr="00A75EB3" w:rsidRDefault="004D45AF" w:rsidP="000B6C75">
            <w:r w:rsidRPr="00A75EB3">
              <w:rPr>
                <w:rFonts w:ascii="Segoe UI" w:hAnsi="Segoe UI" w:cs="Segoe UI"/>
                <w:i/>
                <w:iCs/>
                <w:sz w:val="18"/>
                <w:szCs w:val="18"/>
              </w:rPr>
              <w:t>"Hydraulic permeability" appears in places, this should be either intrinsic permeability (m²) or hydraulic conductivity (m/s), which are distinct quantities.</w:t>
            </w:r>
          </w:p>
        </w:tc>
        <w:tc>
          <w:tcPr>
            <w:tcW w:w="6286" w:type="dxa"/>
            <w:vAlign w:val="center"/>
          </w:tcPr>
          <w:p w14:paraId="69809294" w14:textId="77777777" w:rsidR="004D45AF" w:rsidRPr="00A75EB3" w:rsidRDefault="004D45AF" w:rsidP="000B6C75">
            <w:r w:rsidRPr="00A75EB3">
              <w:rPr>
                <w:rFonts w:ascii="Segoe UI" w:hAnsi="Segoe UI" w:cs="Segoe UI"/>
                <w:i/>
                <w:iCs/>
                <w:sz w:val="18"/>
                <w:szCs w:val="18"/>
              </w:rPr>
              <w:t>It only appears once and that has now been corrected.</w:t>
            </w:r>
          </w:p>
        </w:tc>
      </w:tr>
      <w:tr w:rsidR="004D45AF" w:rsidRPr="00A75EB3" w14:paraId="6DE84312" w14:textId="77777777" w:rsidTr="000B6C75">
        <w:tc>
          <w:tcPr>
            <w:tcW w:w="538" w:type="dxa"/>
            <w:vAlign w:val="center"/>
          </w:tcPr>
          <w:p w14:paraId="5DC60963" w14:textId="77777777" w:rsidR="004D45AF" w:rsidRPr="00A75EB3" w:rsidRDefault="004D45AF" w:rsidP="00F70769">
            <w:r w:rsidRPr="00A75EB3">
              <w:rPr>
                <w:rFonts w:ascii="Calibri" w:hAnsi="Calibri" w:cs="Calibri"/>
                <w:sz w:val="18"/>
                <w:szCs w:val="18"/>
              </w:rPr>
              <w:t>4</w:t>
            </w:r>
          </w:p>
        </w:tc>
        <w:tc>
          <w:tcPr>
            <w:tcW w:w="920" w:type="dxa"/>
            <w:vAlign w:val="center"/>
          </w:tcPr>
          <w:p w14:paraId="11630657" w14:textId="77777777" w:rsidR="004D45AF" w:rsidRPr="00A75EB3" w:rsidRDefault="004D45AF" w:rsidP="00F70769">
            <w:r w:rsidRPr="00A75EB3">
              <w:rPr>
                <w:rFonts w:ascii="Calibri" w:hAnsi="Calibri" w:cs="Calibri"/>
                <w:sz w:val="18"/>
                <w:szCs w:val="18"/>
              </w:rPr>
              <w:t>R1</w:t>
            </w:r>
          </w:p>
        </w:tc>
        <w:tc>
          <w:tcPr>
            <w:tcW w:w="6285" w:type="dxa"/>
            <w:vAlign w:val="center"/>
          </w:tcPr>
          <w:p w14:paraId="1EF6F63F" w14:textId="77777777" w:rsidR="004D45AF" w:rsidRPr="00A75EB3" w:rsidRDefault="004D45AF" w:rsidP="000B6C75">
            <w:r w:rsidRPr="00A75EB3">
              <w:rPr>
                <w:rFonts w:ascii="Segoe UI" w:hAnsi="Segoe UI" w:cs="Segoe UI"/>
                <w:i/>
                <w:iCs/>
                <w:sz w:val="18"/>
                <w:szCs w:val="18"/>
              </w:rPr>
              <w:t>"pressure becomes sufficiently large" -&gt; it would help to name the specific threshold here (capillary entry pressure).</w:t>
            </w:r>
          </w:p>
        </w:tc>
        <w:tc>
          <w:tcPr>
            <w:tcW w:w="6286" w:type="dxa"/>
            <w:vAlign w:val="center"/>
          </w:tcPr>
          <w:p w14:paraId="0351A309" w14:textId="2EFD3D7C" w:rsidR="004D45AF" w:rsidRPr="00A75EB3" w:rsidRDefault="004D45AF" w:rsidP="000B6C75">
            <w:r w:rsidRPr="00A75EB3">
              <w:rPr>
                <w:rFonts w:ascii="Segoe UI" w:hAnsi="Segoe UI" w:cs="Segoe UI"/>
                <w:i/>
                <w:iCs/>
                <w:sz w:val="18"/>
                <w:szCs w:val="18"/>
              </w:rPr>
              <w:t xml:space="preserve">Capillary entry pressure is only applicable to two-phase flow, whereas the term gas entry covers both dilatant pathway formation and two-phase flow. Dilatancy is not a capillary process. </w:t>
            </w:r>
            <w:r w:rsidR="00E82941" w:rsidRPr="00A75EB3">
              <w:rPr>
                <w:rFonts w:ascii="Segoe UI" w:hAnsi="Segoe UI" w:cs="Segoe UI"/>
                <w:i/>
                <w:iCs/>
                <w:sz w:val="18"/>
                <w:szCs w:val="18"/>
              </w:rPr>
              <w:t>Therefore,</w:t>
            </w:r>
            <w:r w:rsidRPr="00A75EB3">
              <w:rPr>
                <w:rFonts w:ascii="Segoe UI" w:hAnsi="Segoe UI" w:cs="Segoe UI"/>
                <w:i/>
                <w:iCs/>
                <w:sz w:val="18"/>
                <w:szCs w:val="18"/>
              </w:rPr>
              <w:t xml:space="preserve"> this statement has not been changed as it would bias the statement to one of two-phase flow.</w:t>
            </w:r>
          </w:p>
        </w:tc>
      </w:tr>
      <w:tr w:rsidR="004D45AF" w:rsidRPr="00A75EB3" w14:paraId="265303B6" w14:textId="77777777" w:rsidTr="000B6C75">
        <w:tc>
          <w:tcPr>
            <w:tcW w:w="538" w:type="dxa"/>
            <w:vAlign w:val="center"/>
          </w:tcPr>
          <w:p w14:paraId="0261E93B" w14:textId="77777777" w:rsidR="004D45AF" w:rsidRPr="00A75EB3" w:rsidRDefault="004D45AF" w:rsidP="00F70769">
            <w:r w:rsidRPr="00A75EB3">
              <w:rPr>
                <w:rFonts w:ascii="Calibri" w:hAnsi="Calibri" w:cs="Calibri"/>
                <w:sz w:val="18"/>
                <w:szCs w:val="18"/>
              </w:rPr>
              <w:t>5</w:t>
            </w:r>
          </w:p>
        </w:tc>
        <w:tc>
          <w:tcPr>
            <w:tcW w:w="920" w:type="dxa"/>
            <w:vAlign w:val="center"/>
          </w:tcPr>
          <w:p w14:paraId="013D1ED4" w14:textId="77777777" w:rsidR="004D45AF" w:rsidRPr="00A75EB3" w:rsidRDefault="004D45AF" w:rsidP="00F70769">
            <w:r w:rsidRPr="00A75EB3">
              <w:rPr>
                <w:rFonts w:ascii="Calibri" w:hAnsi="Calibri" w:cs="Calibri"/>
                <w:sz w:val="18"/>
                <w:szCs w:val="18"/>
              </w:rPr>
              <w:t>R1</w:t>
            </w:r>
          </w:p>
        </w:tc>
        <w:tc>
          <w:tcPr>
            <w:tcW w:w="6285" w:type="dxa"/>
            <w:vAlign w:val="center"/>
          </w:tcPr>
          <w:p w14:paraId="20D46CCF" w14:textId="77777777" w:rsidR="004D45AF" w:rsidRPr="00A75EB3" w:rsidRDefault="004D45AF" w:rsidP="000B6C75">
            <w:r w:rsidRPr="00A75EB3">
              <w:rPr>
                <w:rFonts w:ascii="Segoe UI" w:hAnsi="Segoe UI" w:cs="Segoe UI"/>
                <w:i/>
                <w:iCs/>
                <w:sz w:val="18"/>
                <w:szCs w:val="18"/>
              </w:rPr>
              <w:t>diffusion and advection are lumped together in one sentence in a way that obscures the distinction between these very different transport mechanisms.</w:t>
            </w:r>
          </w:p>
        </w:tc>
        <w:tc>
          <w:tcPr>
            <w:tcW w:w="6286" w:type="dxa"/>
            <w:vAlign w:val="center"/>
          </w:tcPr>
          <w:p w14:paraId="105EF7BF" w14:textId="77777777" w:rsidR="004D45AF" w:rsidRPr="00A75EB3" w:rsidRDefault="004D45AF" w:rsidP="000B6C75">
            <w:r w:rsidRPr="00A75EB3">
              <w:rPr>
                <w:rFonts w:ascii="Segoe UI" w:hAnsi="Segoe UI" w:cs="Segoe UI"/>
                <w:i/>
                <w:iCs/>
                <w:sz w:val="18"/>
                <w:szCs w:val="18"/>
              </w:rPr>
              <w:t>It’s arguable that all 4 processes are very different. The sentence has been modified to make the clear distinction between diffusion and advection.</w:t>
            </w:r>
          </w:p>
        </w:tc>
      </w:tr>
      <w:tr w:rsidR="004D45AF" w:rsidRPr="00A75EB3" w14:paraId="566077D5" w14:textId="77777777" w:rsidTr="000B6C75">
        <w:tc>
          <w:tcPr>
            <w:tcW w:w="538" w:type="dxa"/>
            <w:vAlign w:val="center"/>
          </w:tcPr>
          <w:p w14:paraId="59C22A7B" w14:textId="77777777" w:rsidR="004D45AF" w:rsidRPr="00A75EB3" w:rsidRDefault="004D45AF" w:rsidP="00F70769">
            <w:r w:rsidRPr="00A75EB3">
              <w:rPr>
                <w:rFonts w:ascii="Calibri" w:hAnsi="Calibri" w:cs="Calibri"/>
                <w:sz w:val="18"/>
                <w:szCs w:val="18"/>
              </w:rPr>
              <w:t>6</w:t>
            </w:r>
          </w:p>
        </w:tc>
        <w:tc>
          <w:tcPr>
            <w:tcW w:w="920" w:type="dxa"/>
            <w:vAlign w:val="center"/>
          </w:tcPr>
          <w:p w14:paraId="08E48C36" w14:textId="77777777" w:rsidR="004D45AF" w:rsidRPr="00A75EB3" w:rsidRDefault="004D45AF" w:rsidP="00F70769">
            <w:r w:rsidRPr="00A75EB3">
              <w:rPr>
                <w:rFonts w:ascii="Calibri" w:hAnsi="Calibri" w:cs="Calibri"/>
                <w:sz w:val="18"/>
                <w:szCs w:val="18"/>
              </w:rPr>
              <w:t>BL</w:t>
            </w:r>
          </w:p>
        </w:tc>
        <w:tc>
          <w:tcPr>
            <w:tcW w:w="6285" w:type="dxa"/>
            <w:vAlign w:val="center"/>
          </w:tcPr>
          <w:p w14:paraId="42E3B568" w14:textId="77777777" w:rsidR="004D45AF" w:rsidRPr="00A75EB3" w:rsidRDefault="004D45AF" w:rsidP="000B6C75">
            <w:r w:rsidRPr="00A75EB3">
              <w:rPr>
                <w:rFonts w:ascii="Calibri" w:hAnsi="Calibri" w:cs="Calibri"/>
                <w:sz w:val="18"/>
                <w:szCs w:val="18"/>
              </w:rPr>
              <w:t>It may be useful to at least mention the need to consider the potential for inducing shear failure? Although this is not expected to be a primary mechanism and is not considered  in Fig. 1.</w:t>
            </w:r>
          </w:p>
        </w:tc>
        <w:tc>
          <w:tcPr>
            <w:tcW w:w="6286" w:type="dxa"/>
            <w:vAlign w:val="center"/>
          </w:tcPr>
          <w:p w14:paraId="34B31CB1" w14:textId="77777777" w:rsidR="004D45AF" w:rsidRPr="00A75EB3" w:rsidRDefault="004D45AF" w:rsidP="000B6C75">
            <w:r w:rsidRPr="00A75EB3">
              <w:rPr>
                <w:rFonts w:ascii="Segoe UI" w:hAnsi="Segoe UI" w:cs="Segoe UI"/>
                <w:i/>
                <w:iCs/>
                <w:sz w:val="18"/>
                <w:szCs w:val="18"/>
              </w:rPr>
              <w:t>We agree with the comment but feel this isn’t the place for such a comment. It is overly complicating things for the intro. Shear failure will be added to the discussion.</w:t>
            </w:r>
          </w:p>
        </w:tc>
      </w:tr>
      <w:tr w:rsidR="004D45AF" w:rsidRPr="00A75EB3" w14:paraId="7BE22E8E" w14:textId="77777777" w:rsidTr="000B6C75">
        <w:tc>
          <w:tcPr>
            <w:tcW w:w="538" w:type="dxa"/>
            <w:vAlign w:val="center"/>
          </w:tcPr>
          <w:p w14:paraId="4DE215CC" w14:textId="77777777" w:rsidR="004D45AF" w:rsidRPr="00A75EB3" w:rsidRDefault="004D45AF" w:rsidP="00F70769">
            <w:r w:rsidRPr="00A75EB3">
              <w:rPr>
                <w:rFonts w:ascii="Calibri" w:hAnsi="Calibri" w:cs="Calibri"/>
                <w:sz w:val="18"/>
                <w:szCs w:val="18"/>
              </w:rPr>
              <w:t>7</w:t>
            </w:r>
          </w:p>
        </w:tc>
        <w:tc>
          <w:tcPr>
            <w:tcW w:w="920" w:type="dxa"/>
            <w:vAlign w:val="center"/>
          </w:tcPr>
          <w:p w14:paraId="756B10C4" w14:textId="77777777" w:rsidR="004D45AF" w:rsidRPr="00A75EB3" w:rsidRDefault="004D45AF" w:rsidP="00F70769">
            <w:r w:rsidRPr="00A75EB3">
              <w:rPr>
                <w:rFonts w:ascii="Calibri" w:hAnsi="Calibri" w:cs="Calibri"/>
                <w:sz w:val="18"/>
                <w:szCs w:val="18"/>
              </w:rPr>
              <w:t>BL</w:t>
            </w:r>
          </w:p>
        </w:tc>
        <w:tc>
          <w:tcPr>
            <w:tcW w:w="6285" w:type="dxa"/>
            <w:vAlign w:val="center"/>
          </w:tcPr>
          <w:p w14:paraId="276F315B" w14:textId="77777777" w:rsidR="004D45AF" w:rsidRPr="00A75EB3" w:rsidRDefault="004D45AF" w:rsidP="000B6C75">
            <w:r w:rsidRPr="00A75EB3">
              <w:rPr>
                <w:rFonts w:ascii="Segoe UI" w:hAnsi="Segoe UI" w:cs="Segoe UI"/>
                <w:i/>
                <w:iCs/>
                <w:sz w:val="18"/>
                <w:szCs w:val="18"/>
              </w:rPr>
              <w:t>Isn't it the balance between pressure and stress i.e. the effective stress that is important rather than just the pressure?</w:t>
            </w:r>
          </w:p>
        </w:tc>
        <w:tc>
          <w:tcPr>
            <w:tcW w:w="6286" w:type="dxa"/>
            <w:vAlign w:val="center"/>
          </w:tcPr>
          <w:p w14:paraId="6FC5372A" w14:textId="77777777" w:rsidR="004D45AF" w:rsidRPr="00A75EB3" w:rsidRDefault="004D45AF" w:rsidP="000B6C75">
            <w:r w:rsidRPr="00A75EB3">
              <w:rPr>
                <w:rFonts w:ascii="Calibri" w:hAnsi="Calibri" w:cs="Calibri"/>
                <w:sz w:val="18"/>
                <w:szCs w:val="18"/>
              </w:rPr>
              <w:t>Test modified</w:t>
            </w:r>
          </w:p>
        </w:tc>
      </w:tr>
      <w:tr w:rsidR="004D45AF" w:rsidRPr="00A75EB3" w14:paraId="5FA8C94B" w14:textId="77777777" w:rsidTr="000B6C75">
        <w:tc>
          <w:tcPr>
            <w:tcW w:w="538" w:type="dxa"/>
            <w:vAlign w:val="center"/>
          </w:tcPr>
          <w:p w14:paraId="2F20F7CC" w14:textId="77777777" w:rsidR="004D45AF" w:rsidRPr="00A75EB3" w:rsidRDefault="004D45AF" w:rsidP="00F70769">
            <w:r w:rsidRPr="00A75EB3">
              <w:rPr>
                <w:rFonts w:ascii="Calibri" w:hAnsi="Calibri" w:cs="Calibri"/>
                <w:sz w:val="18"/>
                <w:szCs w:val="18"/>
              </w:rPr>
              <w:t>8</w:t>
            </w:r>
          </w:p>
        </w:tc>
        <w:tc>
          <w:tcPr>
            <w:tcW w:w="920" w:type="dxa"/>
            <w:vAlign w:val="center"/>
          </w:tcPr>
          <w:p w14:paraId="1ECF0A7A" w14:textId="77777777" w:rsidR="004D45AF" w:rsidRPr="00A75EB3" w:rsidRDefault="004D45AF" w:rsidP="00F70769">
            <w:r w:rsidRPr="00A75EB3">
              <w:rPr>
                <w:rFonts w:ascii="Calibri" w:hAnsi="Calibri" w:cs="Calibri"/>
                <w:sz w:val="18"/>
                <w:szCs w:val="18"/>
              </w:rPr>
              <w:t>BL</w:t>
            </w:r>
          </w:p>
        </w:tc>
        <w:tc>
          <w:tcPr>
            <w:tcW w:w="6285" w:type="dxa"/>
            <w:vAlign w:val="center"/>
          </w:tcPr>
          <w:p w14:paraId="07D1BB19" w14:textId="77777777" w:rsidR="004D45AF" w:rsidRPr="00A75EB3" w:rsidRDefault="004D45AF" w:rsidP="000B6C75">
            <w:r w:rsidRPr="00A75EB3">
              <w:rPr>
                <w:rFonts w:ascii="Segoe UI" w:hAnsi="Segoe UI" w:cs="Segoe UI"/>
                <w:i/>
                <w:iCs/>
                <w:sz w:val="18"/>
                <w:szCs w:val="18"/>
              </w:rPr>
              <w:t xml:space="preserve">Useful to provide some references to other testing e.g. Boom Clay. Gonzalez-Blanco, L. and Romero, E., 2024. A multi-scale insight into gas transport in a deep Cenozoic clay. </w:t>
            </w:r>
            <w:proofErr w:type="spellStart"/>
            <w:r w:rsidRPr="00A75EB3">
              <w:rPr>
                <w:rFonts w:ascii="Segoe UI" w:hAnsi="Segoe UI" w:cs="Segoe UI"/>
                <w:i/>
                <w:iCs/>
                <w:sz w:val="18"/>
                <w:szCs w:val="18"/>
              </w:rPr>
              <w:t>Géotechnique</w:t>
            </w:r>
            <w:proofErr w:type="spellEnd"/>
            <w:r w:rsidRPr="00A75EB3">
              <w:rPr>
                <w:rFonts w:ascii="Segoe UI" w:hAnsi="Segoe UI" w:cs="Segoe UI"/>
                <w:i/>
                <w:iCs/>
                <w:sz w:val="18"/>
                <w:szCs w:val="18"/>
              </w:rPr>
              <w:t>, 74(4), pp.337-354.</w:t>
            </w:r>
          </w:p>
        </w:tc>
        <w:tc>
          <w:tcPr>
            <w:tcW w:w="6286" w:type="dxa"/>
            <w:vAlign w:val="center"/>
          </w:tcPr>
          <w:p w14:paraId="14035A38" w14:textId="77777777" w:rsidR="004D45AF" w:rsidRPr="00A75EB3" w:rsidRDefault="004D45AF" w:rsidP="000B6C75">
            <w:r w:rsidRPr="00A75EB3">
              <w:rPr>
                <w:rFonts w:ascii="Segoe UI" w:hAnsi="Segoe UI" w:cs="Segoe UI"/>
                <w:i/>
                <w:iCs/>
                <w:sz w:val="18"/>
                <w:szCs w:val="18"/>
              </w:rPr>
              <w:t>There are so many papers that could/should be referenced we have decided to reference the reviews that were done as part of Eurad-GAS.</w:t>
            </w:r>
          </w:p>
        </w:tc>
      </w:tr>
      <w:tr w:rsidR="004D45AF" w:rsidRPr="00A75EB3" w14:paraId="64C53012" w14:textId="77777777" w:rsidTr="000B6C75">
        <w:tc>
          <w:tcPr>
            <w:tcW w:w="538" w:type="dxa"/>
            <w:vAlign w:val="center"/>
          </w:tcPr>
          <w:p w14:paraId="693F2FDD" w14:textId="77777777" w:rsidR="004D45AF" w:rsidRPr="00A75EB3" w:rsidRDefault="004D45AF" w:rsidP="00F70769">
            <w:r w:rsidRPr="00A75EB3">
              <w:rPr>
                <w:rFonts w:ascii="Calibri" w:hAnsi="Calibri" w:cs="Calibri"/>
                <w:sz w:val="18"/>
                <w:szCs w:val="18"/>
              </w:rPr>
              <w:lastRenderedPageBreak/>
              <w:t>10</w:t>
            </w:r>
          </w:p>
        </w:tc>
        <w:tc>
          <w:tcPr>
            <w:tcW w:w="920" w:type="dxa"/>
            <w:vAlign w:val="center"/>
          </w:tcPr>
          <w:p w14:paraId="381C2786" w14:textId="77777777" w:rsidR="004D45AF" w:rsidRPr="00A75EB3" w:rsidRDefault="004D45AF" w:rsidP="00F70769">
            <w:r w:rsidRPr="00A75EB3">
              <w:rPr>
                <w:rFonts w:ascii="Calibri" w:hAnsi="Calibri" w:cs="Calibri"/>
                <w:sz w:val="18"/>
                <w:szCs w:val="18"/>
              </w:rPr>
              <w:t>BL</w:t>
            </w:r>
          </w:p>
        </w:tc>
        <w:tc>
          <w:tcPr>
            <w:tcW w:w="6285" w:type="dxa"/>
            <w:vAlign w:val="center"/>
          </w:tcPr>
          <w:p w14:paraId="2B250B49" w14:textId="77777777" w:rsidR="004D45AF" w:rsidRPr="00A75EB3" w:rsidRDefault="004D45AF" w:rsidP="000B6C75">
            <w:r w:rsidRPr="00A75EB3">
              <w:rPr>
                <w:rFonts w:ascii="Segoe UI" w:hAnsi="Segoe UI" w:cs="Segoe UI"/>
                <w:i/>
                <w:iCs/>
                <w:sz w:val="18"/>
                <w:szCs w:val="18"/>
              </w:rPr>
              <w:t>What about HG-C/D investigations?</w:t>
            </w:r>
          </w:p>
        </w:tc>
        <w:tc>
          <w:tcPr>
            <w:tcW w:w="6286" w:type="dxa"/>
            <w:vAlign w:val="center"/>
          </w:tcPr>
          <w:p w14:paraId="472EAD8F" w14:textId="573B2C33" w:rsidR="004D45AF" w:rsidRPr="00A75EB3" w:rsidRDefault="004D45AF" w:rsidP="000B6C75">
            <w:r w:rsidRPr="00A75EB3">
              <w:rPr>
                <w:rFonts w:ascii="Segoe UI" w:hAnsi="Segoe UI" w:cs="Segoe UI"/>
                <w:i/>
                <w:iCs/>
                <w:sz w:val="18"/>
                <w:szCs w:val="18"/>
              </w:rPr>
              <w:t xml:space="preserve">These are now listed. They are not easily accessible reports. </w:t>
            </w:r>
            <w:r w:rsidR="00E82941" w:rsidRPr="00A75EB3">
              <w:rPr>
                <w:rFonts w:ascii="Segoe UI" w:hAnsi="Segoe UI" w:cs="Segoe UI"/>
                <w:i/>
                <w:iCs/>
                <w:sz w:val="18"/>
                <w:szCs w:val="18"/>
              </w:rPr>
              <w:t>We’re</w:t>
            </w:r>
            <w:r w:rsidRPr="00A75EB3">
              <w:rPr>
                <w:rFonts w:ascii="Segoe UI" w:hAnsi="Segoe UI" w:cs="Segoe UI"/>
                <w:i/>
                <w:iCs/>
                <w:sz w:val="18"/>
                <w:szCs w:val="18"/>
              </w:rPr>
              <w:t xml:space="preserve"> aware of the experiments, but when not reported in open peer-review literature it makes them less easily referenceable.</w:t>
            </w:r>
          </w:p>
        </w:tc>
      </w:tr>
      <w:tr w:rsidR="004D45AF" w:rsidRPr="00A75EB3" w14:paraId="1EFF62D2" w14:textId="77777777" w:rsidTr="000B6C75">
        <w:tc>
          <w:tcPr>
            <w:tcW w:w="538" w:type="dxa"/>
            <w:vAlign w:val="center"/>
          </w:tcPr>
          <w:p w14:paraId="7BD21CAB" w14:textId="77777777" w:rsidR="004D45AF" w:rsidRPr="00A75EB3" w:rsidRDefault="004D45AF" w:rsidP="00F70769">
            <w:r w:rsidRPr="00A75EB3">
              <w:rPr>
                <w:rFonts w:ascii="Calibri" w:hAnsi="Calibri" w:cs="Calibri"/>
                <w:sz w:val="18"/>
                <w:szCs w:val="18"/>
              </w:rPr>
              <w:t>11</w:t>
            </w:r>
          </w:p>
        </w:tc>
        <w:tc>
          <w:tcPr>
            <w:tcW w:w="920" w:type="dxa"/>
            <w:vAlign w:val="center"/>
          </w:tcPr>
          <w:p w14:paraId="46A2CF2C" w14:textId="77777777" w:rsidR="004D45AF" w:rsidRPr="00A75EB3" w:rsidRDefault="004D45AF" w:rsidP="00F70769">
            <w:r w:rsidRPr="00A75EB3">
              <w:rPr>
                <w:rFonts w:ascii="Calibri" w:hAnsi="Calibri" w:cs="Calibri"/>
                <w:sz w:val="18"/>
                <w:szCs w:val="18"/>
              </w:rPr>
              <w:t>BL</w:t>
            </w:r>
          </w:p>
        </w:tc>
        <w:tc>
          <w:tcPr>
            <w:tcW w:w="6285" w:type="dxa"/>
            <w:vAlign w:val="center"/>
          </w:tcPr>
          <w:p w14:paraId="6EF298FB" w14:textId="77777777" w:rsidR="004D45AF" w:rsidRPr="00A75EB3" w:rsidRDefault="004D45AF" w:rsidP="000B6C75">
            <w:r w:rsidRPr="00A75EB3">
              <w:rPr>
                <w:rFonts w:ascii="Segoe UI" w:hAnsi="Segoe UI" w:cs="Segoe UI"/>
                <w:i/>
                <w:iCs/>
                <w:sz w:val="18"/>
                <w:szCs w:val="18"/>
              </w:rPr>
              <w:t>Further gas threshold testing has been performed as part of Nagra's deep borehole campaign</w:t>
            </w:r>
          </w:p>
        </w:tc>
        <w:tc>
          <w:tcPr>
            <w:tcW w:w="6286" w:type="dxa"/>
            <w:vAlign w:val="center"/>
          </w:tcPr>
          <w:p w14:paraId="6BE3D8C1" w14:textId="77777777" w:rsidR="004D45AF" w:rsidRPr="00A75EB3" w:rsidRDefault="004D45AF" w:rsidP="000B6C75">
            <w:r w:rsidRPr="00A75EB3">
              <w:rPr>
                <w:rFonts w:ascii="Segoe UI" w:hAnsi="Segoe UI" w:cs="Segoe UI"/>
                <w:i/>
                <w:iCs/>
                <w:sz w:val="18"/>
                <w:szCs w:val="18"/>
              </w:rPr>
              <w:t>Whilst we are aware of these tests, they are not well reported and can only be found in non-peer reviewed reports.</w:t>
            </w:r>
          </w:p>
        </w:tc>
      </w:tr>
      <w:tr w:rsidR="004D45AF" w:rsidRPr="00A75EB3" w14:paraId="3C28ED3C" w14:textId="77777777" w:rsidTr="000B6C75">
        <w:tc>
          <w:tcPr>
            <w:tcW w:w="538" w:type="dxa"/>
            <w:vAlign w:val="center"/>
          </w:tcPr>
          <w:p w14:paraId="467ECBC2" w14:textId="77777777" w:rsidR="004D45AF" w:rsidRPr="00A75EB3" w:rsidRDefault="004D45AF" w:rsidP="00F70769">
            <w:r w:rsidRPr="00A75EB3">
              <w:rPr>
                <w:rFonts w:ascii="Calibri" w:hAnsi="Calibri" w:cs="Calibri"/>
                <w:sz w:val="18"/>
                <w:szCs w:val="18"/>
              </w:rPr>
              <w:t>12</w:t>
            </w:r>
          </w:p>
        </w:tc>
        <w:tc>
          <w:tcPr>
            <w:tcW w:w="920" w:type="dxa"/>
            <w:vAlign w:val="center"/>
          </w:tcPr>
          <w:p w14:paraId="095BB788" w14:textId="77777777" w:rsidR="004D45AF" w:rsidRPr="00A75EB3" w:rsidRDefault="004D45AF" w:rsidP="00F70769">
            <w:r w:rsidRPr="00A75EB3">
              <w:rPr>
                <w:rFonts w:ascii="Calibri" w:hAnsi="Calibri" w:cs="Calibri"/>
                <w:sz w:val="18"/>
                <w:szCs w:val="18"/>
              </w:rPr>
              <w:t>BL</w:t>
            </w:r>
          </w:p>
        </w:tc>
        <w:tc>
          <w:tcPr>
            <w:tcW w:w="6285" w:type="dxa"/>
            <w:vAlign w:val="center"/>
          </w:tcPr>
          <w:p w14:paraId="1E9C9F05" w14:textId="77777777" w:rsidR="004D45AF" w:rsidRPr="00A75EB3" w:rsidRDefault="004D45AF" w:rsidP="000B6C75">
            <w:r w:rsidRPr="00A75EB3">
              <w:rPr>
                <w:rFonts w:ascii="Segoe UI" w:hAnsi="Segoe UI" w:cs="Segoe UI"/>
                <w:i/>
                <w:iCs/>
                <w:sz w:val="18"/>
                <w:szCs w:val="18"/>
              </w:rPr>
              <w:t>In general, the complex 3D relationship between bedding orientation, stress direction and the experiment layout requires further discussion and ideally revised graphical presentations to help the reader. The conventions used to describe dip direction are unclear and some of the values given in the text do not appear to be consistent with a generally SSE-dipping bedding typically observed at the URL.</w:t>
            </w:r>
          </w:p>
        </w:tc>
        <w:tc>
          <w:tcPr>
            <w:tcW w:w="6286" w:type="dxa"/>
            <w:vAlign w:val="center"/>
          </w:tcPr>
          <w:p w14:paraId="798D48A5" w14:textId="7CBA9D6B" w:rsidR="004D45AF" w:rsidRPr="00A75EB3" w:rsidRDefault="004D45AF" w:rsidP="000B6C75">
            <w:r w:rsidRPr="00A75EB3">
              <w:rPr>
                <w:rFonts w:ascii="Segoe UI" w:hAnsi="Segoe UI" w:cs="Segoe UI"/>
                <w:i/>
                <w:iCs/>
                <w:sz w:val="18"/>
                <w:szCs w:val="18"/>
              </w:rPr>
              <w:t xml:space="preserve">The paper was written in a local coordinate system. This is a fair </w:t>
            </w:r>
            <w:r w:rsidR="00E82941" w:rsidRPr="00A75EB3">
              <w:rPr>
                <w:rFonts w:ascii="Segoe UI" w:hAnsi="Segoe UI" w:cs="Segoe UI"/>
                <w:i/>
                <w:iCs/>
                <w:sz w:val="18"/>
                <w:szCs w:val="18"/>
              </w:rPr>
              <w:t>comment,</w:t>
            </w:r>
            <w:r w:rsidRPr="00A75EB3">
              <w:rPr>
                <w:rFonts w:ascii="Segoe UI" w:hAnsi="Segoe UI" w:cs="Segoe UI"/>
                <w:i/>
                <w:iCs/>
                <w:sz w:val="18"/>
                <w:szCs w:val="18"/>
              </w:rPr>
              <w:t xml:space="preserve"> and we thank the reviewer for pointing out we were amiss by not defining the local coordinate system. In Figure 2a we have added labels for geographic north, the GT reference direction, and also the dip direction. We feel this will satisfy the reviewers comment. Re-orienting the text and all diagrams is not a small task and therefore we have retained the local GT reference system. The text will be modified throughout the paper to make reference to geographical coordinate system where necessary. Reference directions have also been added to Figures 7 and 9 (Fibre </w:t>
            </w:r>
            <w:r w:rsidR="00E82941" w:rsidRPr="00A75EB3">
              <w:rPr>
                <w:rFonts w:ascii="Segoe UI" w:hAnsi="Segoe UI" w:cs="Segoe UI"/>
                <w:i/>
                <w:iCs/>
                <w:sz w:val="18"/>
                <w:szCs w:val="18"/>
              </w:rPr>
              <w:t>optic</w:t>
            </w:r>
            <w:r w:rsidRPr="00A75EB3">
              <w:rPr>
                <w:rFonts w:ascii="Segoe UI" w:hAnsi="Segoe UI" w:cs="Segoe UI"/>
                <w:i/>
                <w:iCs/>
                <w:sz w:val="18"/>
                <w:szCs w:val="18"/>
              </w:rPr>
              <w:t xml:space="preserve"> plots).</w:t>
            </w:r>
          </w:p>
        </w:tc>
      </w:tr>
      <w:tr w:rsidR="004D45AF" w:rsidRPr="00A75EB3" w14:paraId="1130E2A8" w14:textId="77777777" w:rsidTr="000B6C75">
        <w:tc>
          <w:tcPr>
            <w:tcW w:w="538" w:type="dxa"/>
            <w:vAlign w:val="center"/>
          </w:tcPr>
          <w:p w14:paraId="0921E40D" w14:textId="77777777" w:rsidR="004D45AF" w:rsidRPr="00A75EB3" w:rsidRDefault="004D45AF" w:rsidP="00F70769">
            <w:r w:rsidRPr="00A75EB3">
              <w:rPr>
                <w:rFonts w:ascii="Calibri" w:hAnsi="Calibri" w:cs="Calibri"/>
                <w:sz w:val="18"/>
                <w:szCs w:val="18"/>
              </w:rPr>
              <w:t>13</w:t>
            </w:r>
          </w:p>
        </w:tc>
        <w:tc>
          <w:tcPr>
            <w:tcW w:w="920" w:type="dxa"/>
            <w:vAlign w:val="center"/>
          </w:tcPr>
          <w:p w14:paraId="7436849C" w14:textId="77777777" w:rsidR="004D45AF" w:rsidRPr="00A75EB3" w:rsidRDefault="004D45AF" w:rsidP="00F70769">
            <w:r w:rsidRPr="00A75EB3">
              <w:rPr>
                <w:rFonts w:ascii="Calibri" w:hAnsi="Calibri" w:cs="Calibri"/>
                <w:sz w:val="18"/>
                <w:szCs w:val="18"/>
              </w:rPr>
              <w:t>BL</w:t>
            </w:r>
          </w:p>
        </w:tc>
        <w:tc>
          <w:tcPr>
            <w:tcW w:w="6285" w:type="dxa"/>
            <w:vAlign w:val="center"/>
          </w:tcPr>
          <w:p w14:paraId="6A8A5638" w14:textId="77777777" w:rsidR="004D45AF" w:rsidRPr="00A75EB3" w:rsidRDefault="004D45AF" w:rsidP="000B6C75">
            <w:r w:rsidRPr="00A75EB3">
              <w:rPr>
                <w:rFonts w:ascii="Segoe UI" w:hAnsi="Segoe UI" w:cs="Segoe UI"/>
                <w:i/>
                <w:iCs/>
                <w:sz w:val="18"/>
                <w:szCs w:val="18"/>
              </w:rPr>
              <w:t>The overburden varies across the URL from 220-320m - the 280m value is probably that for the GT site?</w:t>
            </w:r>
          </w:p>
        </w:tc>
        <w:tc>
          <w:tcPr>
            <w:tcW w:w="6286" w:type="dxa"/>
            <w:vAlign w:val="center"/>
          </w:tcPr>
          <w:p w14:paraId="581AA4CB" w14:textId="77777777" w:rsidR="004D45AF" w:rsidRPr="00A75EB3" w:rsidRDefault="004D45AF" w:rsidP="000B6C75">
            <w:r w:rsidRPr="00A75EB3">
              <w:rPr>
                <w:rFonts w:ascii="Segoe UI" w:hAnsi="Segoe UI" w:cs="Segoe UI"/>
                <w:i/>
                <w:iCs/>
                <w:sz w:val="18"/>
                <w:szCs w:val="18"/>
              </w:rPr>
              <w:t>Corrected</w:t>
            </w:r>
          </w:p>
        </w:tc>
      </w:tr>
      <w:tr w:rsidR="004D45AF" w:rsidRPr="00A75EB3" w14:paraId="59A92C8D" w14:textId="77777777" w:rsidTr="000B6C75">
        <w:tc>
          <w:tcPr>
            <w:tcW w:w="538" w:type="dxa"/>
            <w:vAlign w:val="center"/>
          </w:tcPr>
          <w:p w14:paraId="1B73F185" w14:textId="77777777" w:rsidR="004D45AF" w:rsidRPr="00A75EB3" w:rsidRDefault="004D45AF" w:rsidP="00F70769">
            <w:r w:rsidRPr="00A75EB3">
              <w:rPr>
                <w:rFonts w:ascii="Calibri" w:hAnsi="Calibri" w:cs="Calibri"/>
                <w:sz w:val="18"/>
                <w:szCs w:val="18"/>
              </w:rPr>
              <w:t>14</w:t>
            </w:r>
          </w:p>
        </w:tc>
        <w:tc>
          <w:tcPr>
            <w:tcW w:w="920" w:type="dxa"/>
            <w:vAlign w:val="center"/>
          </w:tcPr>
          <w:p w14:paraId="4A052E6B" w14:textId="77777777" w:rsidR="004D45AF" w:rsidRPr="00A75EB3" w:rsidRDefault="004D45AF" w:rsidP="00F70769">
            <w:r w:rsidRPr="00A75EB3">
              <w:rPr>
                <w:rFonts w:ascii="Calibri" w:hAnsi="Calibri" w:cs="Calibri"/>
                <w:sz w:val="18"/>
                <w:szCs w:val="18"/>
              </w:rPr>
              <w:t>BL</w:t>
            </w:r>
          </w:p>
        </w:tc>
        <w:tc>
          <w:tcPr>
            <w:tcW w:w="6285" w:type="dxa"/>
            <w:vAlign w:val="center"/>
          </w:tcPr>
          <w:p w14:paraId="43D29411" w14:textId="77777777" w:rsidR="004D45AF" w:rsidRPr="00A75EB3" w:rsidRDefault="004D45AF" w:rsidP="000B6C75">
            <w:r w:rsidRPr="00A75EB3">
              <w:rPr>
                <w:rFonts w:ascii="Segoe UI" w:hAnsi="Segoe UI" w:cs="Segoe UI"/>
                <w:i/>
                <w:iCs/>
                <w:sz w:val="18"/>
                <w:szCs w:val="18"/>
              </w:rPr>
              <w:t>local bedding direction?</w:t>
            </w:r>
          </w:p>
        </w:tc>
        <w:tc>
          <w:tcPr>
            <w:tcW w:w="6286" w:type="dxa"/>
            <w:vAlign w:val="center"/>
          </w:tcPr>
          <w:p w14:paraId="008717D0" w14:textId="77777777" w:rsidR="004D45AF" w:rsidRPr="00A75EB3" w:rsidRDefault="004D45AF" w:rsidP="000B6C75">
            <w:r w:rsidRPr="00A75EB3">
              <w:rPr>
                <w:rFonts w:ascii="Segoe UI" w:hAnsi="Segoe UI" w:cs="Segoe UI"/>
                <w:i/>
                <w:iCs/>
                <w:sz w:val="18"/>
                <w:szCs w:val="18"/>
              </w:rPr>
              <w:t>modified</w:t>
            </w:r>
          </w:p>
        </w:tc>
      </w:tr>
      <w:tr w:rsidR="004D45AF" w:rsidRPr="00A75EB3" w14:paraId="3326EC21" w14:textId="77777777" w:rsidTr="000B6C75">
        <w:tc>
          <w:tcPr>
            <w:tcW w:w="538" w:type="dxa"/>
            <w:vAlign w:val="center"/>
          </w:tcPr>
          <w:p w14:paraId="4A1EFA96" w14:textId="77777777" w:rsidR="004D45AF" w:rsidRPr="00A75EB3" w:rsidRDefault="004D45AF" w:rsidP="00F70769">
            <w:r w:rsidRPr="00A75EB3">
              <w:rPr>
                <w:rFonts w:ascii="Calibri" w:hAnsi="Calibri" w:cs="Calibri"/>
                <w:sz w:val="18"/>
                <w:szCs w:val="18"/>
              </w:rPr>
              <w:t>15</w:t>
            </w:r>
          </w:p>
        </w:tc>
        <w:tc>
          <w:tcPr>
            <w:tcW w:w="920" w:type="dxa"/>
            <w:vAlign w:val="center"/>
          </w:tcPr>
          <w:p w14:paraId="218017DF" w14:textId="77777777" w:rsidR="004D45AF" w:rsidRPr="00A75EB3" w:rsidRDefault="004D45AF" w:rsidP="00F70769">
            <w:r w:rsidRPr="00A75EB3">
              <w:rPr>
                <w:rFonts w:ascii="Calibri" w:hAnsi="Calibri" w:cs="Calibri"/>
                <w:sz w:val="18"/>
                <w:szCs w:val="18"/>
              </w:rPr>
              <w:t>R1</w:t>
            </w:r>
          </w:p>
        </w:tc>
        <w:tc>
          <w:tcPr>
            <w:tcW w:w="6285" w:type="dxa"/>
            <w:vAlign w:val="center"/>
          </w:tcPr>
          <w:p w14:paraId="4A209583" w14:textId="77777777" w:rsidR="004D45AF" w:rsidRPr="00A75EB3" w:rsidRDefault="004D45AF" w:rsidP="000B6C75">
            <w:r w:rsidRPr="00A75EB3">
              <w:rPr>
                <w:rFonts w:ascii="Calibri" w:hAnsi="Calibri" w:cs="Calibri"/>
                <w:b/>
                <w:bCs/>
                <w:sz w:val="18"/>
                <w:szCs w:val="18"/>
              </w:rPr>
              <w:t>7 The borehole disturbed zone assumption seems optimistic.</w:t>
            </w:r>
            <w:r w:rsidRPr="00A75EB3">
              <w:rPr>
                <w:rFonts w:ascii="Calibri" w:hAnsi="Calibri" w:cs="Calibri"/>
                <w:sz w:val="18"/>
                <w:szCs w:val="18"/>
              </w:rPr>
              <w:t xml:space="preserve"> The paper assumes a BDZ of ~0.5 borehole radius (~50 mm). For OPA at Mont Terri, this seems low based on what's been reported in the literature for similar boreholes. If the actual disturbed zone extends further, one to several borehole diameters, then there are implications for pathway connectivity between boreholes, interpretation of early gas arrivals, and whether gas transport through "intact" rock is really being measured. Could the authors provide references supporting the 0.5-radius estimate, and discuss what it would mean for the interpretation if the BDZ were larger?</w:t>
            </w:r>
          </w:p>
        </w:tc>
        <w:tc>
          <w:tcPr>
            <w:tcW w:w="6286" w:type="dxa"/>
            <w:vAlign w:val="center"/>
          </w:tcPr>
          <w:p w14:paraId="5F1491B6" w14:textId="77777777" w:rsidR="004D45AF" w:rsidRPr="00A75EB3" w:rsidRDefault="004D45AF" w:rsidP="000B6C75">
            <w:r w:rsidRPr="00A75EB3">
              <w:rPr>
                <w:rFonts w:ascii="Segoe UI" w:hAnsi="Segoe UI" w:cs="Segoe UI"/>
                <w:sz w:val="18"/>
                <w:szCs w:val="18"/>
              </w:rPr>
              <w:t>This was just a badly worded sentence with an error. The BDZ is 2.7x and the BDZ is therefore 136mm around the borehole, giving a total zone of 187mm radius. The reference has now been added, the sentence improved. This does not change the interpretation of the test.</w:t>
            </w:r>
          </w:p>
        </w:tc>
      </w:tr>
      <w:tr w:rsidR="004D45AF" w:rsidRPr="00A75EB3" w14:paraId="4EC4C2CA" w14:textId="77777777" w:rsidTr="000B6C75">
        <w:tc>
          <w:tcPr>
            <w:tcW w:w="538" w:type="dxa"/>
            <w:vAlign w:val="center"/>
          </w:tcPr>
          <w:p w14:paraId="773D6EE0" w14:textId="77777777" w:rsidR="004D45AF" w:rsidRPr="00A75EB3" w:rsidRDefault="004D45AF" w:rsidP="00F70769">
            <w:r w:rsidRPr="00A75EB3">
              <w:rPr>
                <w:rFonts w:ascii="Calibri" w:hAnsi="Calibri" w:cs="Calibri"/>
                <w:sz w:val="18"/>
                <w:szCs w:val="18"/>
              </w:rPr>
              <w:t>16</w:t>
            </w:r>
          </w:p>
        </w:tc>
        <w:tc>
          <w:tcPr>
            <w:tcW w:w="920" w:type="dxa"/>
            <w:vAlign w:val="center"/>
          </w:tcPr>
          <w:p w14:paraId="0AD36CC2" w14:textId="77777777" w:rsidR="004D45AF" w:rsidRPr="00A75EB3" w:rsidRDefault="004D45AF" w:rsidP="00F70769">
            <w:r w:rsidRPr="00A75EB3">
              <w:rPr>
                <w:rFonts w:ascii="Calibri" w:hAnsi="Calibri" w:cs="Calibri"/>
                <w:sz w:val="18"/>
                <w:szCs w:val="18"/>
              </w:rPr>
              <w:t>BL</w:t>
            </w:r>
          </w:p>
        </w:tc>
        <w:tc>
          <w:tcPr>
            <w:tcW w:w="6285" w:type="dxa"/>
            <w:vAlign w:val="center"/>
          </w:tcPr>
          <w:p w14:paraId="6BFFF8CF" w14:textId="77777777" w:rsidR="004D45AF" w:rsidRPr="00A75EB3" w:rsidRDefault="004D45AF" w:rsidP="000B6C75">
            <w:r w:rsidRPr="00A75EB3">
              <w:rPr>
                <w:rFonts w:ascii="Segoe UI" w:hAnsi="Segoe UI" w:cs="Segoe UI"/>
                <w:i/>
                <w:iCs/>
                <w:sz w:val="18"/>
                <w:szCs w:val="18"/>
              </w:rPr>
              <w:t>How is it 500mm? If the planned separation is 1000mm? is this due to the 1% location error or the extent of BDZ?</w:t>
            </w:r>
          </w:p>
        </w:tc>
        <w:tc>
          <w:tcPr>
            <w:tcW w:w="6286" w:type="dxa"/>
            <w:vAlign w:val="center"/>
          </w:tcPr>
          <w:p w14:paraId="55F90F17" w14:textId="1C7CC7EC" w:rsidR="004D45AF" w:rsidRPr="00A75EB3" w:rsidRDefault="004D45AF" w:rsidP="000B6C75">
            <w:r w:rsidRPr="00A75EB3">
              <w:rPr>
                <w:rFonts w:ascii="Segoe UI" w:hAnsi="Segoe UI" w:cs="Segoe UI"/>
                <w:i/>
                <w:iCs/>
                <w:sz w:val="18"/>
                <w:szCs w:val="18"/>
              </w:rPr>
              <w:t xml:space="preserve">Sentence changed to make it </w:t>
            </w:r>
            <w:r w:rsidR="00E82941" w:rsidRPr="00A75EB3">
              <w:rPr>
                <w:rFonts w:ascii="Segoe UI" w:hAnsi="Segoe UI" w:cs="Segoe UI"/>
                <w:i/>
                <w:iCs/>
                <w:sz w:val="18"/>
                <w:szCs w:val="18"/>
              </w:rPr>
              <w:t>clearer</w:t>
            </w:r>
          </w:p>
        </w:tc>
      </w:tr>
      <w:tr w:rsidR="004D45AF" w:rsidRPr="00A75EB3" w14:paraId="6D58A3B1" w14:textId="77777777" w:rsidTr="000B6C75">
        <w:tc>
          <w:tcPr>
            <w:tcW w:w="538" w:type="dxa"/>
            <w:vAlign w:val="center"/>
          </w:tcPr>
          <w:p w14:paraId="6D71ACA0" w14:textId="77777777" w:rsidR="004D45AF" w:rsidRPr="00A75EB3" w:rsidRDefault="004D45AF" w:rsidP="00F70769">
            <w:r w:rsidRPr="00A75EB3">
              <w:rPr>
                <w:rFonts w:ascii="Calibri" w:hAnsi="Calibri" w:cs="Calibri"/>
                <w:sz w:val="18"/>
                <w:szCs w:val="18"/>
              </w:rPr>
              <w:t>17</w:t>
            </w:r>
          </w:p>
        </w:tc>
        <w:tc>
          <w:tcPr>
            <w:tcW w:w="920" w:type="dxa"/>
            <w:vAlign w:val="center"/>
          </w:tcPr>
          <w:p w14:paraId="3CF86FE2" w14:textId="77777777" w:rsidR="004D45AF" w:rsidRPr="00A75EB3" w:rsidRDefault="004D45AF" w:rsidP="00F70769">
            <w:r w:rsidRPr="00A75EB3">
              <w:rPr>
                <w:rFonts w:ascii="Calibri" w:hAnsi="Calibri" w:cs="Calibri"/>
                <w:sz w:val="18"/>
                <w:szCs w:val="18"/>
              </w:rPr>
              <w:t>BL</w:t>
            </w:r>
          </w:p>
        </w:tc>
        <w:tc>
          <w:tcPr>
            <w:tcW w:w="6285" w:type="dxa"/>
            <w:vAlign w:val="center"/>
          </w:tcPr>
          <w:p w14:paraId="21E91163" w14:textId="77777777" w:rsidR="004D45AF" w:rsidRPr="00A75EB3" w:rsidRDefault="004D45AF" w:rsidP="000B6C75">
            <w:r w:rsidRPr="00A75EB3">
              <w:rPr>
                <w:rFonts w:ascii="Segoe UI" w:hAnsi="Segoe UI" w:cs="Segoe UI"/>
                <w:i/>
                <w:iCs/>
                <w:sz w:val="18"/>
                <w:szCs w:val="18"/>
              </w:rPr>
              <w:t>single-mode fibre?</w:t>
            </w:r>
          </w:p>
        </w:tc>
        <w:tc>
          <w:tcPr>
            <w:tcW w:w="6286" w:type="dxa"/>
            <w:vAlign w:val="center"/>
          </w:tcPr>
          <w:p w14:paraId="054CC61B" w14:textId="77777777" w:rsidR="004D45AF" w:rsidRPr="00A75EB3" w:rsidRDefault="004D45AF" w:rsidP="000B6C75">
            <w:r w:rsidRPr="00A75EB3">
              <w:rPr>
                <w:rFonts w:ascii="Calibri" w:hAnsi="Calibri" w:cs="Calibri"/>
                <w:sz w:val="18"/>
                <w:szCs w:val="18"/>
              </w:rPr>
              <w:t>Corrected</w:t>
            </w:r>
          </w:p>
        </w:tc>
      </w:tr>
      <w:tr w:rsidR="004D45AF" w:rsidRPr="00A75EB3" w14:paraId="4A1193DC" w14:textId="77777777" w:rsidTr="000B6C75">
        <w:tc>
          <w:tcPr>
            <w:tcW w:w="538" w:type="dxa"/>
            <w:vAlign w:val="center"/>
          </w:tcPr>
          <w:p w14:paraId="7C8CABBE" w14:textId="77777777" w:rsidR="004D45AF" w:rsidRPr="00A75EB3" w:rsidRDefault="004D45AF" w:rsidP="00F70769">
            <w:r w:rsidRPr="00A75EB3">
              <w:rPr>
                <w:rFonts w:ascii="Calibri" w:hAnsi="Calibri" w:cs="Calibri"/>
                <w:sz w:val="18"/>
                <w:szCs w:val="18"/>
              </w:rPr>
              <w:t>18</w:t>
            </w:r>
          </w:p>
        </w:tc>
        <w:tc>
          <w:tcPr>
            <w:tcW w:w="920" w:type="dxa"/>
            <w:vAlign w:val="center"/>
          </w:tcPr>
          <w:p w14:paraId="3BA58E56" w14:textId="77777777" w:rsidR="004D45AF" w:rsidRPr="00A75EB3" w:rsidRDefault="004D45AF" w:rsidP="00F70769">
            <w:r w:rsidRPr="00A75EB3">
              <w:rPr>
                <w:rFonts w:ascii="Calibri" w:hAnsi="Calibri" w:cs="Calibri"/>
                <w:sz w:val="18"/>
                <w:szCs w:val="18"/>
              </w:rPr>
              <w:t>BL</w:t>
            </w:r>
          </w:p>
        </w:tc>
        <w:tc>
          <w:tcPr>
            <w:tcW w:w="6285" w:type="dxa"/>
            <w:vAlign w:val="center"/>
          </w:tcPr>
          <w:p w14:paraId="59524BE3" w14:textId="77777777" w:rsidR="004D45AF" w:rsidRPr="00A75EB3" w:rsidRDefault="004D45AF" w:rsidP="000B6C75">
            <w:r w:rsidRPr="00A75EB3">
              <w:rPr>
                <w:rFonts w:ascii="Calibri" w:hAnsi="Calibri" w:cs="Calibri"/>
                <w:sz w:val="18"/>
                <w:szCs w:val="18"/>
              </w:rPr>
              <w:t>It would be useful to the reader to give the depth below the tunnel floor of this interval. Could also be shown in Figure 2?</w:t>
            </w:r>
          </w:p>
        </w:tc>
        <w:tc>
          <w:tcPr>
            <w:tcW w:w="6286" w:type="dxa"/>
            <w:vAlign w:val="center"/>
          </w:tcPr>
          <w:p w14:paraId="45362AB7" w14:textId="77777777" w:rsidR="004D45AF" w:rsidRPr="00A75EB3" w:rsidRDefault="004D45AF" w:rsidP="000B6C75">
            <w:r w:rsidRPr="00A75EB3">
              <w:rPr>
                <w:rFonts w:ascii="Segoe UI" w:hAnsi="Segoe UI" w:cs="Segoe UI"/>
                <w:i/>
                <w:iCs/>
                <w:sz w:val="18"/>
                <w:szCs w:val="18"/>
              </w:rPr>
              <w:t>Added to text but not figure as the figure is now getting too complicated</w:t>
            </w:r>
          </w:p>
        </w:tc>
      </w:tr>
      <w:tr w:rsidR="004D45AF" w:rsidRPr="00A75EB3" w14:paraId="56F3A082" w14:textId="77777777" w:rsidTr="000B6C75">
        <w:tc>
          <w:tcPr>
            <w:tcW w:w="538" w:type="dxa"/>
            <w:vAlign w:val="center"/>
          </w:tcPr>
          <w:p w14:paraId="1F622F8C" w14:textId="77777777" w:rsidR="004D45AF" w:rsidRPr="00A75EB3" w:rsidRDefault="004D45AF" w:rsidP="00F70769">
            <w:r w:rsidRPr="00A75EB3">
              <w:rPr>
                <w:rFonts w:ascii="Calibri" w:hAnsi="Calibri" w:cs="Calibri"/>
                <w:sz w:val="18"/>
                <w:szCs w:val="18"/>
              </w:rPr>
              <w:t>19</w:t>
            </w:r>
          </w:p>
        </w:tc>
        <w:tc>
          <w:tcPr>
            <w:tcW w:w="920" w:type="dxa"/>
            <w:vAlign w:val="center"/>
          </w:tcPr>
          <w:p w14:paraId="14C6D26C" w14:textId="77777777" w:rsidR="004D45AF" w:rsidRPr="00A75EB3" w:rsidRDefault="004D45AF" w:rsidP="00F70769">
            <w:r w:rsidRPr="00A75EB3">
              <w:rPr>
                <w:rFonts w:ascii="Calibri" w:hAnsi="Calibri" w:cs="Calibri"/>
                <w:sz w:val="18"/>
                <w:szCs w:val="18"/>
              </w:rPr>
              <w:t>BL</w:t>
            </w:r>
          </w:p>
        </w:tc>
        <w:tc>
          <w:tcPr>
            <w:tcW w:w="6285" w:type="dxa"/>
            <w:vAlign w:val="center"/>
          </w:tcPr>
          <w:p w14:paraId="2A83346E" w14:textId="77777777" w:rsidR="004D45AF" w:rsidRPr="00A75EB3" w:rsidRDefault="004D45AF" w:rsidP="000B6C75">
            <w:r w:rsidRPr="00A75EB3">
              <w:rPr>
                <w:rFonts w:ascii="Segoe UI" w:hAnsi="Segoe UI" w:cs="Segoe UI"/>
                <w:i/>
                <w:iCs/>
                <w:sz w:val="18"/>
                <w:szCs w:val="18"/>
              </w:rPr>
              <w:t>It would be useful to include a plan of the Mont Terri URL to orient the reader showing the locations of the GT experiment, previous gas testing e.g. GS/GPK,HG-C/D and relevant stress measurement locations.</w:t>
            </w:r>
          </w:p>
        </w:tc>
        <w:tc>
          <w:tcPr>
            <w:tcW w:w="6286" w:type="dxa"/>
            <w:vAlign w:val="center"/>
          </w:tcPr>
          <w:p w14:paraId="067F2679" w14:textId="77777777" w:rsidR="004D45AF" w:rsidRPr="00A75EB3" w:rsidRDefault="004D45AF" w:rsidP="000B6C75">
            <w:r w:rsidRPr="00A75EB3">
              <w:rPr>
                <w:rFonts w:ascii="Segoe UI" w:hAnsi="Segoe UI" w:cs="Segoe UI"/>
                <w:i/>
                <w:iCs/>
                <w:sz w:val="18"/>
                <w:szCs w:val="18"/>
              </w:rPr>
              <w:t>We originally did not include this because of the limitation on the length of the paper and number of figures allowed. As it has been highlighted by the reviewers, a map of the Mont Terri URL and the location of the GT test has now been included.</w:t>
            </w:r>
          </w:p>
        </w:tc>
      </w:tr>
      <w:tr w:rsidR="004D45AF" w:rsidRPr="00A75EB3" w14:paraId="05CD956B" w14:textId="77777777" w:rsidTr="000B6C75">
        <w:tc>
          <w:tcPr>
            <w:tcW w:w="538" w:type="dxa"/>
            <w:vAlign w:val="center"/>
          </w:tcPr>
          <w:p w14:paraId="5B61900A" w14:textId="77777777" w:rsidR="004D45AF" w:rsidRPr="00A75EB3" w:rsidRDefault="004D45AF" w:rsidP="00F70769">
            <w:r w:rsidRPr="00A75EB3">
              <w:rPr>
                <w:rFonts w:ascii="Calibri" w:hAnsi="Calibri" w:cs="Calibri"/>
                <w:sz w:val="18"/>
                <w:szCs w:val="18"/>
              </w:rPr>
              <w:t>20</w:t>
            </w:r>
          </w:p>
        </w:tc>
        <w:tc>
          <w:tcPr>
            <w:tcW w:w="920" w:type="dxa"/>
            <w:vAlign w:val="center"/>
          </w:tcPr>
          <w:p w14:paraId="48DFB04A" w14:textId="77777777" w:rsidR="004D45AF" w:rsidRPr="00A75EB3" w:rsidRDefault="004D45AF" w:rsidP="00F70769">
            <w:r w:rsidRPr="00A75EB3">
              <w:rPr>
                <w:rFonts w:ascii="Calibri" w:hAnsi="Calibri" w:cs="Calibri"/>
                <w:sz w:val="18"/>
                <w:szCs w:val="18"/>
              </w:rPr>
              <w:t>BL</w:t>
            </w:r>
          </w:p>
        </w:tc>
        <w:tc>
          <w:tcPr>
            <w:tcW w:w="6285" w:type="dxa"/>
            <w:vAlign w:val="center"/>
          </w:tcPr>
          <w:p w14:paraId="487AECDC" w14:textId="77777777" w:rsidR="004D45AF" w:rsidRPr="00A75EB3" w:rsidRDefault="004D45AF" w:rsidP="000B6C75">
            <w:r w:rsidRPr="00A75EB3">
              <w:rPr>
                <w:rFonts w:ascii="Segoe UI" w:hAnsi="Segoe UI" w:cs="Segoe UI"/>
                <w:i/>
                <w:iCs/>
                <w:sz w:val="18"/>
                <w:szCs w:val="18"/>
              </w:rPr>
              <w:t>The experiment layout as shown in Figure 2 could be improved by showing the local bedding dip direction and ensuring consistency of labels between this figure, other figures and the text.</w:t>
            </w:r>
          </w:p>
        </w:tc>
        <w:tc>
          <w:tcPr>
            <w:tcW w:w="6286" w:type="dxa"/>
            <w:vAlign w:val="center"/>
          </w:tcPr>
          <w:p w14:paraId="2EDD95EE" w14:textId="76178F7C" w:rsidR="004D45AF" w:rsidRPr="00A75EB3" w:rsidRDefault="004D45AF" w:rsidP="000B6C75">
            <w:r w:rsidRPr="00A75EB3">
              <w:rPr>
                <w:rFonts w:ascii="Segoe UI" w:hAnsi="Segoe UI" w:cs="Segoe UI"/>
                <w:i/>
                <w:iCs/>
                <w:sz w:val="18"/>
                <w:szCs w:val="18"/>
              </w:rPr>
              <w:t xml:space="preserve">We have modified Figure 2 with these comments in mind and feel it now addresses this comment and those by the other reviewer. It is a complex </w:t>
            </w:r>
            <w:r w:rsidRPr="00A75EB3">
              <w:rPr>
                <w:rFonts w:ascii="Segoe UI" w:hAnsi="Segoe UI" w:cs="Segoe UI"/>
                <w:i/>
                <w:iCs/>
                <w:sz w:val="18"/>
                <w:szCs w:val="18"/>
              </w:rPr>
              <w:lastRenderedPageBreak/>
              <w:t xml:space="preserve">geometry and we are trying to include a lot of information in limited space. This is now a much better figure and hope the reviewer finds it </w:t>
            </w:r>
            <w:r w:rsidR="0033749A" w:rsidRPr="00A75EB3">
              <w:rPr>
                <w:rFonts w:ascii="Segoe UI" w:hAnsi="Segoe UI" w:cs="Segoe UI"/>
                <w:i/>
                <w:iCs/>
                <w:sz w:val="18"/>
                <w:szCs w:val="18"/>
              </w:rPr>
              <w:t>clearer</w:t>
            </w:r>
            <w:r w:rsidRPr="00A75EB3">
              <w:rPr>
                <w:rFonts w:ascii="Segoe UI" w:hAnsi="Segoe UI" w:cs="Segoe UI"/>
                <w:i/>
                <w:iCs/>
                <w:sz w:val="18"/>
                <w:szCs w:val="18"/>
              </w:rPr>
              <w:t>.</w:t>
            </w:r>
          </w:p>
        </w:tc>
      </w:tr>
      <w:tr w:rsidR="004D45AF" w:rsidRPr="00A75EB3" w14:paraId="34C92120" w14:textId="77777777" w:rsidTr="000B6C75">
        <w:tc>
          <w:tcPr>
            <w:tcW w:w="538" w:type="dxa"/>
            <w:vAlign w:val="center"/>
          </w:tcPr>
          <w:p w14:paraId="3AE9E810" w14:textId="77777777" w:rsidR="004D45AF" w:rsidRPr="00A75EB3" w:rsidRDefault="004D45AF" w:rsidP="00F70769">
            <w:r w:rsidRPr="00A75EB3">
              <w:rPr>
                <w:rFonts w:ascii="Calibri" w:hAnsi="Calibri" w:cs="Calibri"/>
                <w:sz w:val="18"/>
                <w:szCs w:val="18"/>
              </w:rPr>
              <w:lastRenderedPageBreak/>
              <w:t>21</w:t>
            </w:r>
          </w:p>
        </w:tc>
        <w:tc>
          <w:tcPr>
            <w:tcW w:w="920" w:type="dxa"/>
            <w:vAlign w:val="center"/>
          </w:tcPr>
          <w:p w14:paraId="3A787E83" w14:textId="77777777" w:rsidR="004D45AF" w:rsidRPr="00A75EB3" w:rsidRDefault="004D45AF" w:rsidP="00F70769">
            <w:r w:rsidRPr="00A75EB3">
              <w:rPr>
                <w:rFonts w:ascii="Calibri" w:hAnsi="Calibri" w:cs="Calibri"/>
                <w:sz w:val="18"/>
                <w:szCs w:val="18"/>
              </w:rPr>
              <w:t>BL</w:t>
            </w:r>
          </w:p>
        </w:tc>
        <w:tc>
          <w:tcPr>
            <w:tcW w:w="6285" w:type="dxa"/>
            <w:vAlign w:val="center"/>
          </w:tcPr>
          <w:p w14:paraId="3B9A331E" w14:textId="77777777" w:rsidR="004D45AF" w:rsidRPr="00A75EB3" w:rsidRDefault="004D45AF" w:rsidP="000B6C75">
            <w:r w:rsidRPr="00A75EB3">
              <w:rPr>
                <w:rFonts w:ascii="Segoe UI" w:hAnsi="Segoe UI" w:cs="Segoe UI"/>
                <w:i/>
                <w:iCs/>
                <w:sz w:val="18"/>
                <w:szCs w:val="18"/>
              </w:rPr>
              <w:t>This diagram could be of more use if consistent interval labelling (in b) was used and bedding/dip direction shown (in a)</w:t>
            </w:r>
          </w:p>
        </w:tc>
        <w:tc>
          <w:tcPr>
            <w:tcW w:w="6286" w:type="dxa"/>
            <w:vAlign w:val="center"/>
          </w:tcPr>
          <w:p w14:paraId="25A7E356" w14:textId="4B0413A4" w:rsidR="004D45AF" w:rsidRPr="00A75EB3" w:rsidRDefault="004D45AF" w:rsidP="000B6C75">
            <w:r w:rsidRPr="00A75EB3">
              <w:rPr>
                <w:rFonts w:ascii="Segoe UI" w:hAnsi="Segoe UI" w:cs="Segoe UI"/>
                <w:i/>
                <w:iCs/>
                <w:sz w:val="18"/>
                <w:szCs w:val="18"/>
              </w:rPr>
              <w:t xml:space="preserve">Figure b is meant to be a schematic. We appreciate it is confusing but it is not possible to display all the relevant information on the figure. However, in response to the other reviewer, we have now labelled North, dip direction and GT reference direction in (a) and have oriented the boreholes in (b) to represent their true dip. We hope this satisfies the </w:t>
            </w:r>
            <w:r w:rsidR="006A316E" w:rsidRPr="00A75EB3">
              <w:rPr>
                <w:rFonts w:ascii="Segoe UI" w:hAnsi="Segoe UI" w:cs="Segoe UI"/>
                <w:i/>
                <w:iCs/>
                <w:sz w:val="18"/>
                <w:szCs w:val="18"/>
              </w:rPr>
              <w:t>reviewer’s</w:t>
            </w:r>
            <w:r w:rsidRPr="00A75EB3">
              <w:rPr>
                <w:rFonts w:ascii="Segoe UI" w:hAnsi="Segoe UI" w:cs="Segoe UI"/>
                <w:i/>
                <w:iCs/>
                <w:sz w:val="18"/>
                <w:szCs w:val="18"/>
              </w:rPr>
              <w:t xml:space="preserve"> comment.</w:t>
            </w:r>
          </w:p>
        </w:tc>
      </w:tr>
      <w:tr w:rsidR="004D45AF" w:rsidRPr="00A75EB3" w14:paraId="2C16791E" w14:textId="77777777" w:rsidTr="000B6C75">
        <w:tc>
          <w:tcPr>
            <w:tcW w:w="538" w:type="dxa"/>
            <w:vAlign w:val="center"/>
          </w:tcPr>
          <w:p w14:paraId="23089C06" w14:textId="77777777" w:rsidR="004D45AF" w:rsidRPr="00A75EB3" w:rsidRDefault="004D45AF" w:rsidP="00F70769">
            <w:r w:rsidRPr="00A75EB3">
              <w:rPr>
                <w:rFonts w:ascii="Calibri" w:hAnsi="Calibri" w:cs="Calibri"/>
                <w:sz w:val="18"/>
                <w:szCs w:val="18"/>
              </w:rPr>
              <w:t>22</w:t>
            </w:r>
          </w:p>
        </w:tc>
        <w:tc>
          <w:tcPr>
            <w:tcW w:w="920" w:type="dxa"/>
            <w:vAlign w:val="center"/>
          </w:tcPr>
          <w:p w14:paraId="1C564C07" w14:textId="77777777" w:rsidR="004D45AF" w:rsidRPr="00A75EB3" w:rsidRDefault="004D45AF" w:rsidP="00F70769">
            <w:r w:rsidRPr="00A75EB3">
              <w:rPr>
                <w:rFonts w:ascii="Calibri" w:hAnsi="Calibri" w:cs="Calibri"/>
                <w:sz w:val="18"/>
                <w:szCs w:val="18"/>
              </w:rPr>
              <w:t>BL</w:t>
            </w:r>
          </w:p>
        </w:tc>
        <w:tc>
          <w:tcPr>
            <w:tcW w:w="6285" w:type="dxa"/>
            <w:vAlign w:val="center"/>
          </w:tcPr>
          <w:p w14:paraId="35AF64B6" w14:textId="77777777" w:rsidR="004D45AF" w:rsidRPr="00A75EB3" w:rsidRDefault="004D45AF" w:rsidP="000B6C75">
            <w:r w:rsidRPr="00A75EB3">
              <w:rPr>
                <w:rFonts w:ascii="Segoe UI" w:hAnsi="Segoe UI" w:cs="Segoe UI"/>
                <w:i/>
                <w:iCs/>
                <w:sz w:val="18"/>
                <w:szCs w:val="18"/>
              </w:rPr>
              <w:t>Useful to say what this was e.g. Pearson water?</w:t>
            </w:r>
          </w:p>
        </w:tc>
        <w:tc>
          <w:tcPr>
            <w:tcW w:w="6286" w:type="dxa"/>
            <w:vAlign w:val="center"/>
          </w:tcPr>
          <w:p w14:paraId="24B76E7D" w14:textId="77777777" w:rsidR="004D45AF" w:rsidRPr="00A75EB3" w:rsidRDefault="004D45AF" w:rsidP="000B6C75">
            <w:r w:rsidRPr="00A75EB3">
              <w:rPr>
                <w:rFonts w:ascii="Segoe UI" w:hAnsi="Segoe UI" w:cs="Segoe UI"/>
                <w:i/>
                <w:iCs/>
                <w:sz w:val="18"/>
                <w:szCs w:val="18"/>
              </w:rPr>
              <w:t>Modified to say Pearson Type A1</w:t>
            </w:r>
          </w:p>
        </w:tc>
      </w:tr>
      <w:tr w:rsidR="004D45AF" w:rsidRPr="00A75EB3" w14:paraId="1F9BE9BC" w14:textId="77777777" w:rsidTr="000B6C75">
        <w:tc>
          <w:tcPr>
            <w:tcW w:w="538" w:type="dxa"/>
            <w:vAlign w:val="center"/>
          </w:tcPr>
          <w:p w14:paraId="75314737" w14:textId="77777777" w:rsidR="004D45AF" w:rsidRPr="00A75EB3" w:rsidRDefault="004D45AF" w:rsidP="00F70769">
            <w:r w:rsidRPr="00A75EB3">
              <w:rPr>
                <w:rFonts w:ascii="Calibri" w:hAnsi="Calibri" w:cs="Calibri"/>
                <w:sz w:val="18"/>
                <w:szCs w:val="18"/>
              </w:rPr>
              <w:t>23</w:t>
            </w:r>
          </w:p>
        </w:tc>
        <w:tc>
          <w:tcPr>
            <w:tcW w:w="920" w:type="dxa"/>
            <w:vAlign w:val="center"/>
          </w:tcPr>
          <w:p w14:paraId="7E860894" w14:textId="77777777" w:rsidR="004D45AF" w:rsidRPr="00A75EB3" w:rsidRDefault="004D45AF" w:rsidP="00F70769">
            <w:r w:rsidRPr="00A75EB3">
              <w:rPr>
                <w:rFonts w:ascii="Calibri" w:hAnsi="Calibri" w:cs="Calibri"/>
                <w:sz w:val="18"/>
                <w:szCs w:val="18"/>
              </w:rPr>
              <w:t>BL</w:t>
            </w:r>
          </w:p>
        </w:tc>
        <w:tc>
          <w:tcPr>
            <w:tcW w:w="6285" w:type="dxa"/>
            <w:vAlign w:val="center"/>
          </w:tcPr>
          <w:p w14:paraId="770422DA" w14:textId="77777777" w:rsidR="004D45AF" w:rsidRPr="00A75EB3" w:rsidRDefault="004D45AF" w:rsidP="000B6C75">
            <w:r w:rsidRPr="00A75EB3">
              <w:rPr>
                <w:rFonts w:ascii="Segoe UI" w:hAnsi="Segoe UI" w:cs="Segoe UI"/>
                <w:i/>
                <w:iCs/>
                <w:sz w:val="18"/>
                <w:szCs w:val="18"/>
              </w:rPr>
              <w:t>What is meant by this? Undisturbed permeability or pore pressure or something else?</w:t>
            </w:r>
          </w:p>
        </w:tc>
        <w:tc>
          <w:tcPr>
            <w:tcW w:w="6286" w:type="dxa"/>
            <w:vAlign w:val="center"/>
          </w:tcPr>
          <w:p w14:paraId="74BA0698" w14:textId="181345D4" w:rsidR="004D45AF" w:rsidRPr="00A75EB3" w:rsidRDefault="004D45AF" w:rsidP="000B6C75">
            <w:r w:rsidRPr="00A75EB3">
              <w:rPr>
                <w:rFonts w:ascii="Calibri" w:hAnsi="Calibri" w:cs="Calibri"/>
                <w:sz w:val="18"/>
                <w:szCs w:val="18"/>
              </w:rPr>
              <w:t xml:space="preserve">Sentence modified to make it </w:t>
            </w:r>
            <w:r w:rsidR="00E82941" w:rsidRPr="00A75EB3">
              <w:rPr>
                <w:rFonts w:ascii="Calibri" w:hAnsi="Calibri" w:cs="Calibri"/>
                <w:sz w:val="18"/>
                <w:szCs w:val="18"/>
              </w:rPr>
              <w:t>clearer</w:t>
            </w:r>
            <w:r w:rsidRPr="00A75EB3">
              <w:rPr>
                <w:rFonts w:ascii="Calibri" w:hAnsi="Calibri" w:cs="Calibri"/>
                <w:sz w:val="18"/>
                <w:szCs w:val="18"/>
              </w:rPr>
              <w:t>. A pressure test was conducted and the decay was typical of undisturbed OPA.</w:t>
            </w:r>
          </w:p>
        </w:tc>
      </w:tr>
      <w:tr w:rsidR="004D45AF" w:rsidRPr="00A75EB3" w14:paraId="4CB18BF4" w14:textId="77777777" w:rsidTr="000B6C75">
        <w:tc>
          <w:tcPr>
            <w:tcW w:w="538" w:type="dxa"/>
            <w:vAlign w:val="center"/>
          </w:tcPr>
          <w:p w14:paraId="3B629628" w14:textId="77777777" w:rsidR="004D45AF" w:rsidRPr="00A75EB3" w:rsidRDefault="004D45AF" w:rsidP="00F70769">
            <w:r w:rsidRPr="00A75EB3">
              <w:rPr>
                <w:rFonts w:ascii="Calibri" w:hAnsi="Calibri" w:cs="Calibri"/>
                <w:sz w:val="18"/>
                <w:szCs w:val="18"/>
              </w:rPr>
              <w:t>24</w:t>
            </w:r>
          </w:p>
        </w:tc>
        <w:tc>
          <w:tcPr>
            <w:tcW w:w="920" w:type="dxa"/>
            <w:vAlign w:val="center"/>
          </w:tcPr>
          <w:p w14:paraId="50275399" w14:textId="77777777" w:rsidR="004D45AF" w:rsidRPr="00A75EB3" w:rsidRDefault="004D45AF" w:rsidP="00F70769">
            <w:r w:rsidRPr="00A75EB3">
              <w:rPr>
                <w:rFonts w:ascii="Calibri" w:hAnsi="Calibri" w:cs="Calibri"/>
                <w:sz w:val="18"/>
                <w:szCs w:val="18"/>
              </w:rPr>
              <w:t>BL</w:t>
            </w:r>
          </w:p>
        </w:tc>
        <w:tc>
          <w:tcPr>
            <w:tcW w:w="6285" w:type="dxa"/>
            <w:vAlign w:val="center"/>
          </w:tcPr>
          <w:p w14:paraId="0FBEF0F9" w14:textId="77777777" w:rsidR="004D45AF" w:rsidRPr="00A75EB3" w:rsidRDefault="004D45AF" w:rsidP="000B6C75">
            <w:r w:rsidRPr="00A75EB3">
              <w:rPr>
                <w:rFonts w:ascii="Segoe UI" w:hAnsi="Segoe UI" w:cs="Segoe UI"/>
                <w:i/>
                <w:iCs/>
                <w:sz w:val="18"/>
                <w:szCs w:val="18"/>
              </w:rPr>
              <w:t>This long-term history of BGT-2 is not shown. It could usefully be added to Figure 3 for comparison with pressure in BGT-10.</w:t>
            </w:r>
          </w:p>
        </w:tc>
        <w:tc>
          <w:tcPr>
            <w:tcW w:w="6286" w:type="dxa"/>
            <w:vAlign w:val="center"/>
          </w:tcPr>
          <w:p w14:paraId="2B2F3283" w14:textId="2DC27B19" w:rsidR="004D45AF" w:rsidRPr="00A75EB3" w:rsidRDefault="004D45AF" w:rsidP="000B6C75">
            <w:r w:rsidRPr="00A75EB3">
              <w:rPr>
                <w:rFonts w:ascii="Calibri" w:hAnsi="Calibri" w:cs="Calibri"/>
                <w:sz w:val="18"/>
                <w:szCs w:val="18"/>
              </w:rPr>
              <w:t xml:space="preserve">We have assessed this suggestion. The pore pressure during this period was transient after the installation of the packer system in BGT-2. This makes it difficult to display anything of use. No meaningful variation was seen in pore pressure as other boreholes were drilled. Any variation would have been small compared with the range in pore pressure seen in BGT-2 intervals, making display difficult. We feel that inclusion in this paper does not add anything useful. The </w:t>
            </w:r>
            <w:r w:rsidR="00E82941" w:rsidRPr="00A75EB3">
              <w:rPr>
                <w:rFonts w:ascii="Calibri" w:hAnsi="Calibri" w:cs="Calibri"/>
                <w:sz w:val="18"/>
                <w:szCs w:val="18"/>
              </w:rPr>
              <w:t>restrictions</w:t>
            </w:r>
            <w:r w:rsidRPr="00A75EB3">
              <w:rPr>
                <w:rFonts w:ascii="Calibri" w:hAnsi="Calibri" w:cs="Calibri"/>
                <w:sz w:val="18"/>
                <w:szCs w:val="18"/>
              </w:rPr>
              <w:t xml:space="preserve"> of length that peer-reviewed papers give make discussion of all aspects of the data very difficult and this level of detail is available in the report covering the GT field test.</w:t>
            </w:r>
          </w:p>
        </w:tc>
      </w:tr>
      <w:tr w:rsidR="004D45AF" w:rsidRPr="00A75EB3" w14:paraId="0A4207A8" w14:textId="77777777" w:rsidTr="000B6C75">
        <w:tc>
          <w:tcPr>
            <w:tcW w:w="538" w:type="dxa"/>
            <w:vAlign w:val="center"/>
          </w:tcPr>
          <w:p w14:paraId="5252EA9A" w14:textId="77777777" w:rsidR="004D45AF" w:rsidRPr="00A75EB3" w:rsidRDefault="004D45AF" w:rsidP="00F70769">
            <w:r w:rsidRPr="00A75EB3">
              <w:rPr>
                <w:rFonts w:ascii="Calibri" w:hAnsi="Calibri" w:cs="Calibri"/>
                <w:sz w:val="18"/>
                <w:szCs w:val="18"/>
              </w:rPr>
              <w:t>25</w:t>
            </w:r>
          </w:p>
        </w:tc>
        <w:tc>
          <w:tcPr>
            <w:tcW w:w="920" w:type="dxa"/>
            <w:vAlign w:val="center"/>
          </w:tcPr>
          <w:p w14:paraId="51FF036A" w14:textId="77777777" w:rsidR="004D45AF" w:rsidRPr="00A75EB3" w:rsidRDefault="004D45AF" w:rsidP="00F70769">
            <w:r w:rsidRPr="00A75EB3">
              <w:rPr>
                <w:rFonts w:ascii="Calibri" w:hAnsi="Calibri" w:cs="Calibri"/>
                <w:sz w:val="18"/>
                <w:szCs w:val="18"/>
              </w:rPr>
              <w:t>BL</w:t>
            </w:r>
          </w:p>
        </w:tc>
        <w:tc>
          <w:tcPr>
            <w:tcW w:w="6285" w:type="dxa"/>
            <w:vAlign w:val="center"/>
          </w:tcPr>
          <w:p w14:paraId="3F32E1CF" w14:textId="77777777" w:rsidR="004D45AF" w:rsidRPr="00A75EB3" w:rsidRDefault="004D45AF" w:rsidP="000B6C75">
            <w:r w:rsidRPr="00A75EB3">
              <w:rPr>
                <w:rFonts w:ascii="Segoe UI" w:hAnsi="Segoe UI" w:cs="Segoe UI"/>
                <w:i/>
                <w:iCs/>
                <w:sz w:val="18"/>
                <w:szCs w:val="18"/>
              </w:rPr>
              <w:t>What is the argument here regarding measured pressure and damage?</w:t>
            </w:r>
          </w:p>
        </w:tc>
        <w:tc>
          <w:tcPr>
            <w:tcW w:w="6286" w:type="dxa"/>
            <w:vAlign w:val="center"/>
          </w:tcPr>
          <w:p w14:paraId="1E0D960C" w14:textId="71D0A79C" w:rsidR="004D45AF" w:rsidRPr="00A75EB3" w:rsidRDefault="004D45AF" w:rsidP="000B6C75">
            <w:r w:rsidRPr="00A75EB3">
              <w:rPr>
                <w:rFonts w:ascii="Segoe UI" w:hAnsi="Segoe UI" w:cs="Segoe UI"/>
                <w:i/>
                <w:iCs/>
                <w:sz w:val="18"/>
                <w:szCs w:val="18"/>
              </w:rPr>
              <w:t xml:space="preserve">Our argument is that the pore pressures were indicative of </w:t>
            </w:r>
            <w:r w:rsidR="006A316E" w:rsidRPr="00A75EB3">
              <w:rPr>
                <w:rFonts w:ascii="Segoe UI" w:hAnsi="Segoe UI" w:cs="Segoe UI"/>
                <w:i/>
                <w:iCs/>
                <w:sz w:val="18"/>
                <w:szCs w:val="18"/>
              </w:rPr>
              <w:t>an</w:t>
            </w:r>
            <w:r w:rsidRPr="00A75EB3">
              <w:rPr>
                <w:rFonts w:ascii="Segoe UI" w:hAnsi="Segoe UI" w:cs="Segoe UI"/>
                <w:i/>
                <w:iCs/>
                <w:sz w:val="18"/>
                <w:szCs w:val="18"/>
              </w:rPr>
              <w:t xml:space="preserve"> undamaged borehole and that there was no communication between them. Sentence updated.</w:t>
            </w:r>
          </w:p>
        </w:tc>
      </w:tr>
      <w:tr w:rsidR="004D45AF" w:rsidRPr="00A75EB3" w14:paraId="3CA558DE" w14:textId="77777777" w:rsidTr="000B6C75">
        <w:tc>
          <w:tcPr>
            <w:tcW w:w="538" w:type="dxa"/>
            <w:vAlign w:val="center"/>
          </w:tcPr>
          <w:p w14:paraId="222C5B79" w14:textId="77777777" w:rsidR="004D45AF" w:rsidRPr="00A75EB3" w:rsidRDefault="004D45AF" w:rsidP="00F70769">
            <w:r w:rsidRPr="00A75EB3">
              <w:rPr>
                <w:rFonts w:ascii="Calibri" w:hAnsi="Calibri" w:cs="Calibri"/>
                <w:sz w:val="18"/>
                <w:szCs w:val="18"/>
              </w:rPr>
              <w:t>26</w:t>
            </w:r>
          </w:p>
        </w:tc>
        <w:tc>
          <w:tcPr>
            <w:tcW w:w="920" w:type="dxa"/>
            <w:vAlign w:val="center"/>
          </w:tcPr>
          <w:p w14:paraId="1ABE0794" w14:textId="77777777" w:rsidR="004D45AF" w:rsidRPr="00A75EB3" w:rsidRDefault="004D45AF" w:rsidP="00F70769">
            <w:r w:rsidRPr="00A75EB3">
              <w:rPr>
                <w:rFonts w:ascii="Calibri" w:hAnsi="Calibri" w:cs="Calibri"/>
                <w:sz w:val="18"/>
                <w:szCs w:val="18"/>
              </w:rPr>
              <w:t>BL</w:t>
            </w:r>
          </w:p>
        </w:tc>
        <w:tc>
          <w:tcPr>
            <w:tcW w:w="6285" w:type="dxa"/>
            <w:vAlign w:val="center"/>
          </w:tcPr>
          <w:p w14:paraId="07356B59" w14:textId="77777777" w:rsidR="004D45AF" w:rsidRPr="00A75EB3" w:rsidRDefault="004D45AF" w:rsidP="000B6C75">
            <w:r w:rsidRPr="00A75EB3">
              <w:rPr>
                <w:rFonts w:ascii="Segoe UI" w:hAnsi="Segoe UI" w:cs="Segoe UI"/>
                <w:i/>
                <w:iCs/>
                <w:sz w:val="18"/>
                <w:szCs w:val="18"/>
              </w:rPr>
              <w:t>It may be useful to consider adding a table of the main gas injection events, with time, injection pressure and interpretation</w:t>
            </w:r>
          </w:p>
        </w:tc>
        <w:tc>
          <w:tcPr>
            <w:tcW w:w="6286" w:type="dxa"/>
            <w:vAlign w:val="center"/>
          </w:tcPr>
          <w:p w14:paraId="2763D9C0" w14:textId="77777777" w:rsidR="004D45AF" w:rsidRPr="00A75EB3" w:rsidRDefault="004D45AF" w:rsidP="000B6C75">
            <w:r w:rsidRPr="00A75EB3">
              <w:rPr>
                <w:rFonts w:ascii="Segoe UI" w:hAnsi="Segoe UI" w:cs="Segoe UI"/>
                <w:i/>
                <w:iCs/>
                <w:sz w:val="18"/>
                <w:szCs w:val="18"/>
              </w:rPr>
              <w:t>The restrictions on space in a scientific paper meant we couldn’t give the amount of detail required to describe the full complexity of the test data. However, given this comment, other comments, and those by the other reviewer, a table is a good suggestion. This has now been added.</w:t>
            </w:r>
          </w:p>
        </w:tc>
      </w:tr>
      <w:tr w:rsidR="004D45AF" w:rsidRPr="00A75EB3" w14:paraId="75FD1569" w14:textId="77777777" w:rsidTr="000B6C75">
        <w:tc>
          <w:tcPr>
            <w:tcW w:w="538" w:type="dxa"/>
            <w:vAlign w:val="center"/>
          </w:tcPr>
          <w:p w14:paraId="2E4F0661" w14:textId="77777777" w:rsidR="004D45AF" w:rsidRPr="00A75EB3" w:rsidRDefault="004D45AF" w:rsidP="00F70769">
            <w:r w:rsidRPr="00A75EB3">
              <w:rPr>
                <w:rFonts w:ascii="Calibri" w:hAnsi="Calibri" w:cs="Calibri"/>
                <w:sz w:val="18"/>
                <w:szCs w:val="18"/>
              </w:rPr>
              <w:t>27</w:t>
            </w:r>
          </w:p>
        </w:tc>
        <w:tc>
          <w:tcPr>
            <w:tcW w:w="920" w:type="dxa"/>
            <w:vAlign w:val="center"/>
          </w:tcPr>
          <w:p w14:paraId="28B486E4" w14:textId="77777777" w:rsidR="004D45AF" w:rsidRPr="00A75EB3" w:rsidRDefault="004D45AF" w:rsidP="00F70769">
            <w:r w:rsidRPr="00A75EB3">
              <w:rPr>
                <w:rFonts w:ascii="Calibri" w:hAnsi="Calibri" w:cs="Calibri"/>
                <w:sz w:val="18"/>
                <w:szCs w:val="18"/>
              </w:rPr>
              <w:t>BL</w:t>
            </w:r>
          </w:p>
        </w:tc>
        <w:tc>
          <w:tcPr>
            <w:tcW w:w="6285" w:type="dxa"/>
            <w:vAlign w:val="center"/>
          </w:tcPr>
          <w:p w14:paraId="30A78F87" w14:textId="77777777" w:rsidR="004D45AF" w:rsidRPr="00A75EB3" w:rsidRDefault="004D45AF" w:rsidP="000B6C75">
            <w:r w:rsidRPr="00A75EB3">
              <w:rPr>
                <w:rFonts w:ascii="Segoe UI" w:hAnsi="Segoe UI" w:cs="Segoe UI"/>
                <w:i/>
                <w:iCs/>
                <w:sz w:val="18"/>
                <w:szCs w:val="18"/>
              </w:rPr>
              <w:t>Please can the names used (e.g. INTP02, Up1) in this table be linked to Figure 2?</w:t>
            </w:r>
          </w:p>
        </w:tc>
        <w:tc>
          <w:tcPr>
            <w:tcW w:w="6286" w:type="dxa"/>
            <w:vAlign w:val="center"/>
          </w:tcPr>
          <w:p w14:paraId="2739F873" w14:textId="77777777" w:rsidR="004D45AF" w:rsidRPr="00A75EB3" w:rsidRDefault="004D45AF" w:rsidP="000B6C75">
            <w:r w:rsidRPr="00A75EB3">
              <w:rPr>
                <w:rFonts w:ascii="Segoe UI" w:hAnsi="Segoe UI" w:cs="Segoe UI"/>
                <w:i/>
                <w:iCs/>
                <w:sz w:val="18"/>
                <w:szCs w:val="18"/>
              </w:rPr>
              <w:t>The Up1 etc have been changed in the table. Intervals have been numbered in Fig.2 and caption updated.</w:t>
            </w:r>
          </w:p>
        </w:tc>
      </w:tr>
      <w:tr w:rsidR="004D45AF" w:rsidRPr="00A75EB3" w14:paraId="4FE91DB3" w14:textId="77777777" w:rsidTr="000B6C75">
        <w:tc>
          <w:tcPr>
            <w:tcW w:w="538" w:type="dxa"/>
            <w:vAlign w:val="center"/>
          </w:tcPr>
          <w:p w14:paraId="092B61D9" w14:textId="77777777" w:rsidR="004D45AF" w:rsidRPr="00A75EB3" w:rsidRDefault="004D45AF" w:rsidP="00F70769">
            <w:r w:rsidRPr="00A75EB3">
              <w:rPr>
                <w:rFonts w:ascii="Calibri" w:hAnsi="Calibri" w:cs="Calibri"/>
                <w:sz w:val="18"/>
                <w:szCs w:val="18"/>
              </w:rPr>
              <w:t>28</w:t>
            </w:r>
          </w:p>
        </w:tc>
        <w:tc>
          <w:tcPr>
            <w:tcW w:w="920" w:type="dxa"/>
            <w:vAlign w:val="center"/>
          </w:tcPr>
          <w:p w14:paraId="60556951" w14:textId="77777777" w:rsidR="004D45AF" w:rsidRPr="00A75EB3" w:rsidRDefault="004D45AF" w:rsidP="00F70769">
            <w:r w:rsidRPr="00A75EB3">
              <w:rPr>
                <w:rFonts w:ascii="Calibri" w:hAnsi="Calibri" w:cs="Calibri"/>
                <w:sz w:val="18"/>
                <w:szCs w:val="18"/>
              </w:rPr>
              <w:t>BL</w:t>
            </w:r>
          </w:p>
        </w:tc>
        <w:tc>
          <w:tcPr>
            <w:tcW w:w="6285" w:type="dxa"/>
            <w:vAlign w:val="center"/>
          </w:tcPr>
          <w:p w14:paraId="47B63E10" w14:textId="77777777" w:rsidR="004D45AF" w:rsidRPr="00A75EB3" w:rsidRDefault="004D45AF" w:rsidP="000B6C75">
            <w:r w:rsidRPr="00A75EB3">
              <w:rPr>
                <w:rFonts w:ascii="Segoe UI" w:hAnsi="Segoe UI" w:cs="Segoe UI"/>
                <w:i/>
                <w:iCs/>
                <w:sz w:val="18"/>
                <w:szCs w:val="18"/>
              </w:rPr>
              <w:t>Why is gas flow given in m2/s. Volumetric flow at STP would be m3/s, alternatively mass or molar flows could be specified?</w:t>
            </w:r>
          </w:p>
        </w:tc>
        <w:tc>
          <w:tcPr>
            <w:tcW w:w="6286" w:type="dxa"/>
            <w:vAlign w:val="center"/>
          </w:tcPr>
          <w:p w14:paraId="3577CC65" w14:textId="77777777" w:rsidR="004D45AF" w:rsidRPr="00A75EB3" w:rsidRDefault="004D45AF" w:rsidP="000B6C75">
            <w:r w:rsidRPr="00A75EB3">
              <w:rPr>
                <w:rFonts w:ascii="Segoe UI" w:hAnsi="Segoe UI" w:cs="Segoe UI"/>
                <w:i/>
                <w:iCs/>
                <w:sz w:val="18"/>
                <w:szCs w:val="18"/>
              </w:rPr>
              <w:t>Simple typo, the axis on Figure 5 was labelled correctly. Modified.</w:t>
            </w:r>
          </w:p>
        </w:tc>
      </w:tr>
      <w:tr w:rsidR="004D45AF" w:rsidRPr="00A75EB3" w14:paraId="3E2B9375" w14:textId="77777777" w:rsidTr="000B6C75">
        <w:tc>
          <w:tcPr>
            <w:tcW w:w="538" w:type="dxa"/>
            <w:vAlign w:val="center"/>
          </w:tcPr>
          <w:p w14:paraId="3D254228" w14:textId="77777777" w:rsidR="004D45AF" w:rsidRPr="00A75EB3" w:rsidRDefault="004D45AF" w:rsidP="00F70769">
            <w:r w:rsidRPr="00A75EB3">
              <w:rPr>
                <w:rFonts w:ascii="Calibri" w:hAnsi="Calibri" w:cs="Calibri"/>
                <w:sz w:val="18"/>
                <w:szCs w:val="18"/>
              </w:rPr>
              <w:t>29</w:t>
            </w:r>
          </w:p>
        </w:tc>
        <w:tc>
          <w:tcPr>
            <w:tcW w:w="920" w:type="dxa"/>
            <w:vAlign w:val="center"/>
          </w:tcPr>
          <w:p w14:paraId="5967C21C" w14:textId="77777777" w:rsidR="004D45AF" w:rsidRPr="00A75EB3" w:rsidRDefault="004D45AF" w:rsidP="00F70769">
            <w:r w:rsidRPr="00A75EB3">
              <w:rPr>
                <w:rFonts w:ascii="Calibri" w:hAnsi="Calibri" w:cs="Calibri"/>
                <w:sz w:val="18"/>
                <w:szCs w:val="18"/>
              </w:rPr>
              <w:t>BL</w:t>
            </w:r>
          </w:p>
        </w:tc>
        <w:tc>
          <w:tcPr>
            <w:tcW w:w="6285" w:type="dxa"/>
            <w:vAlign w:val="center"/>
          </w:tcPr>
          <w:p w14:paraId="7C8E943E" w14:textId="77777777" w:rsidR="004D45AF" w:rsidRPr="00A75EB3" w:rsidRDefault="004D45AF" w:rsidP="000B6C75">
            <w:r w:rsidRPr="00A75EB3">
              <w:rPr>
                <w:rFonts w:ascii="Segoe UI" w:hAnsi="Segoe UI" w:cs="Segoe UI"/>
                <w:i/>
                <w:iCs/>
                <w:sz w:val="18"/>
                <w:szCs w:val="18"/>
              </w:rPr>
              <w:t>What is meant by leakage here? Packer bypass or flow along the BDZ? For displaced fluid - is the reaction consistent with the expected low hydraulic diffusivity of the OPA (normal to bedding)?</w:t>
            </w:r>
          </w:p>
        </w:tc>
        <w:tc>
          <w:tcPr>
            <w:tcW w:w="6286" w:type="dxa"/>
            <w:vAlign w:val="center"/>
          </w:tcPr>
          <w:p w14:paraId="04DA1A32" w14:textId="77777777" w:rsidR="004D45AF" w:rsidRPr="00A75EB3" w:rsidRDefault="004D45AF" w:rsidP="000B6C75">
            <w:r w:rsidRPr="00A75EB3">
              <w:rPr>
                <w:rFonts w:ascii="Segoe UI" w:hAnsi="Segoe UI" w:cs="Segoe UI"/>
                <w:i/>
                <w:iCs/>
                <w:sz w:val="18"/>
                <w:szCs w:val="18"/>
              </w:rPr>
              <w:t>We meant by-pass between packer and borehole wall and/or through the BDZ. The sentence has been modified. We feel the reaction is consistent.</w:t>
            </w:r>
          </w:p>
        </w:tc>
      </w:tr>
      <w:tr w:rsidR="004D45AF" w:rsidRPr="00A75EB3" w14:paraId="3F1E701E" w14:textId="77777777" w:rsidTr="000B6C75">
        <w:tc>
          <w:tcPr>
            <w:tcW w:w="538" w:type="dxa"/>
            <w:vAlign w:val="center"/>
          </w:tcPr>
          <w:p w14:paraId="28C4B830" w14:textId="77777777" w:rsidR="004D45AF" w:rsidRPr="00A75EB3" w:rsidRDefault="004D45AF" w:rsidP="00F70769">
            <w:r w:rsidRPr="00A75EB3">
              <w:rPr>
                <w:rFonts w:ascii="Calibri" w:hAnsi="Calibri" w:cs="Calibri"/>
                <w:sz w:val="18"/>
                <w:szCs w:val="18"/>
              </w:rPr>
              <w:t>30</w:t>
            </w:r>
          </w:p>
        </w:tc>
        <w:tc>
          <w:tcPr>
            <w:tcW w:w="920" w:type="dxa"/>
            <w:vAlign w:val="center"/>
          </w:tcPr>
          <w:p w14:paraId="1DDAC442" w14:textId="77777777" w:rsidR="004D45AF" w:rsidRPr="00A75EB3" w:rsidRDefault="004D45AF" w:rsidP="00F70769">
            <w:r w:rsidRPr="00A75EB3">
              <w:rPr>
                <w:rFonts w:ascii="Calibri" w:hAnsi="Calibri" w:cs="Calibri"/>
                <w:sz w:val="18"/>
                <w:szCs w:val="18"/>
              </w:rPr>
              <w:t>BL</w:t>
            </w:r>
          </w:p>
        </w:tc>
        <w:tc>
          <w:tcPr>
            <w:tcW w:w="6285" w:type="dxa"/>
            <w:vAlign w:val="center"/>
          </w:tcPr>
          <w:p w14:paraId="6CA7E201" w14:textId="77777777" w:rsidR="004D45AF" w:rsidRPr="00A75EB3" w:rsidRDefault="004D45AF" w:rsidP="000B6C75">
            <w:r w:rsidRPr="00A75EB3">
              <w:rPr>
                <w:rFonts w:ascii="Segoe UI" w:hAnsi="Segoe UI" w:cs="Segoe UI"/>
                <w:i/>
                <w:iCs/>
                <w:sz w:val="18"/>
                <w:szCs w:val="18"/>
              </w:rPr>
              <w:t>Gas flow mechanisms are potentially different to water flow so does this argument hold?</w:t>
            </w:r>
          </w:p>
        </w:tc>
        <w:tc>
          <w:tcPr>
            <w:tcW w:w="6286" w:type="dxa"/>
            <w:vAlign w:val="center"/>
          </w:tcPr>
          <w:p w14:paraId="7F962BE2" w14:textId="77777777" w:rsidR="004D45AF" w:rsidRPr="00A75EB3" w:rsidRDefault="004D45AF" w:rsidP="000B6C75">
            <w:r w:rsidRPr="00A75EB3">
              <w:rPr>
                <w:rFonts w:ascii="Segoe UI" w:hAnsi="Segoe UI" w:cs="Segoe UI"/>
                <w:i/>
                <w:iCs/>
                <w:sz w:val="18"/>
                <w:szCs w:val="18"/>
              </w:rPr>
              <w:t>At this point in the test history, if gas is entering the OPA it is through 2-phase flow and is minor. If it is 2-phase flow then water is being displaced, so we do think this argument holds. It has been modelled and there isn’t enough room in this paper to report that.</w:t>
            </w:r>
          </w:p>
        </w:tc>
      </w:tr>
      <w:tr w:rsidR="004D45AF" w:rsidRPr="00A75EB3" w14:paraId="69F2160C" w14:textId="77777777" w:rsidTr="000B6C75">
        <w:tc>
          <w:tcPr>
            <w:tcW w:w="538" w:type="dxa"/>
            <w:vAlign w:val="center"/>
          </w:tcPr>
          <w:p w14:paraId="0DC001D9" w14:textId="77777777" w:rsidR="004D45AF" w:rsidRPr="00A75EB3" w:rsidRDefault="004D45AF" w:rsidP="00F70769">
            <w:r w:rsidRPr="00A75EB3">
              <w:rPr>
                <w:rFonts w:ascii="Calibri" w:hAnsi="Calibri" w:cs="Calibri"/>
                <w:sz w:val="18"/>
                <w:szCs w:val="18"/>
              </w:rPr>
              <w:lastRenderedPageBreak/>
              <w:t>31</w:t>
            </w:r>
          </w:p>
        </w:tc>
        <w:tc>
          <w:tcPr>
            <w:tcW w:w="920" w:type="dxa"/>
            <w:vAlign w:val="center"/>
          </w:tcPr>
          <w:p w14:paraId="1A13983C" w14:textId="77777777" w:rsidR="004D45AF" w:rsidRPr="00A75EB3" w:rsidRDefault="004D45AF" w:rsidP="00F70769">
            <w:r w:rsidRPr="00A75EB3">
              <w:rPr>
                <w:rFonts w:ascii="Calibri" w:hAnsi="Calibri" w:cs="Calibri"/>
                <w:sz w:val="18"/>
                <w:szCs w:val="18"/>
              </w:rPr>
              <w:t>R1</w:t>
            </w:r>
          </w:p>
        </w:tc>
        <w:tc>
          <w:tcPr>
            <w:tcW w:w="6285" w:type="dxa"/>
            <w:vAlign w:val="center"/>
          </w:tcPr>
          <w:p w14:paraId="7CC3E453" w14:textId="77777777" w:rsidR="004D45AF" w:rsidRPr="00A75EB3" w:rsidRDefault="004D45AF" w:rsidP="000B6C75">
            <w:r w:rsidRPr="00A75EB3">
              <w:rPr>
                <w:rFonts w:ascii="Segoe UI" w:hAnsi="Segoe UI" w:cs="Segoe UI"/>
                <w:i/>
                <w:iCs/>
                <w:sz w:val="18"/>
                <w:szCs w:val="18"/>
              </w:rPr>
              <w:t>Flow reported in m²/s (p.7, Fig. 4b): I cannot work out what physical quantity this represents. Volumetric flow should be m³/s; transmissivity is m²/s but that's not what's being plotted. This needs clarification or correction.</w:t>
            </w:r>
          </w:p>
        </w:tc>
        <w:tc>
          <w:tcPr>
            <w:tcW w:w="6286" w:type="dxa"/>
            <w:vAlign w:val="center"/>
          </w:tcPr>
          <w:p w14:paraId="021B3CA4" w14:textId="62A2E1E1" w:rsidR="004D45AF" w:rsidRPr="00A75EB3" w:rsidRDefault="004D45AF" w:rsidP="000B6C75">
            <w:r w:rsidRPr="00A75EB3">
              <w:rPr>
                <w:rFonts w:ascii="Segoe UI" w:hAnsi="Segoe UI" w:cs="Segoe UI"/>
                <w:i/>
                <w:iCs/>
                <w:sz w:val="18"/>
                <w:szCs w:val="18"/>
              </w:rPr>
              <w:t>It was a typo. Axis of Fig4b (now 5</w:t>
            </w:r>
            <w:r w:rsidR="0033749A" w:rsidRPr="00A75EB3">
              <w:rPr>
                <w:rFonts w:ascii="Segoe UI" w:hAnsi="Segoe UI" w:cs="Segoe UI"/>
                <w:i/>
                <w:iCs/>
                <w:sz w:val="18"/>
                <w:szCs w:val="18"/>
              </w:rPr>
              <w:t>b) actually</w:t>
            </w:r>
            <w:r w:rsidRPr="00A75EB3">
              <w:rPr>
                <w:rFonts w:ascii="Segoe UI" w:hAnsi="Segoe UI" w:cs="Segoe UI"/>
                <w:i/>
                <w:iCs/>
                <w:sz w:val="18"/>
                <w:szCs w:val="18"/>
              </w:rPr>
              <w:t xml:space="preserve"> says m3/s. Corrected.</w:t>
            </w:r>
          </w:p>
        </w:tc>
      </w:tr>
      <w:tr w:rsidR="004D45AF" w:rsidRPr="00A75EB3" w14:paraId="7E7B6357" w14:textId="77777777" w:rsidTr="000B6C75">
        <w:tc>
          <w:tcPr>
            <w:tcW w:w="538" w:type="dxa"/>
            <w:vAlign w:val="center"/>
          </w:tcPr>
          <w:p w14:paraId="0744CC97" w14:textId="77777777" w:rsidR="004D45AF" w:rsidRPr="00A75EB3" w:rsidRDefault="004D45AF" w:rsidP="00F70769">
            <w:r w:rsidRPr="00A75EB3">
              <w:rPr>
                <w:rFonts w:ascii="Calibri" w:hAnsi="Calibri" w:cs="Calibri"/>
                <w:sz w:val="18"/>
                <w:szCs w:val="18"/>
              </w:rPr>
              <w:t>32</w:t>
            </w:r>
          </w:p>
        </w:tc>
        <w:tc>
          <w:tcPr>
            <w:tcW w:w="920" w:type="dxa"/>
            <w:vAlign w:val="center"/>
          </w:tcPr>
          <w:p w14:paraId="75697B7E" w14:textId="77777777" w:rsidR="004D45AF" w:rsidRPr="00A75EB3" w:rsidRDefault="004D45AF" w:rsidP="00F70769">
            <w:r w:rsidRPr="00A75EB3">
              <w:rPr>
                <w:rFonts w:ascii="Calibri" w:hAnsi="Calibri" w:cs="Calibri"/>
                <w:sz w:val="18"/>
                <w:szCs w:val="18"/>
              </w:rPr>
              <w:t>R1</w:t>
            </w:r>
          </w:p>
        </w:tc>
        <w:tc>
          <w:tcPr>
            <w:tcW w:w="6285" w:type="dxa"/>
            <w:vAlign w:val="center"/>
          </w:tcPr>
          <w:p w14:paraId="6AB38B47" w14:textId="77777777" w:rsidR="004D45AF" w:rsidRPr="00A75EB3" w:rsidRDefault="004D45AF" w:rsidP="000B6C75">
            <w:r w:rsidRPr="00A75EB3">
              <w:rPr>
                <w:rFonts w:ascii="Segoe UI" w:hAnsi="Segoe UI" w:cs="Segoe UI"/>
                <w:i/>
                <w:iCs/>
                <w:sz w:val="18"/>
                <w:szCs w:val="18"/>
              </w:rPr>
              <w:t xml:space="preserve">"Pressure gradient" (Fig. 5 axis and caption): what's actually plotted is </w:t>
            </w:r>
            <w:proofErr w:type="spellStart"/>
            <w:r w:rsidRPr="00A75EB3">
              <w:rPr>
                <w:rFonts w:ascii="Segoe UI" w:hAnsi="Segoe UI" w:cs="Segoe UI"/>
                <w:i/>
                <w:iCs/>
                <w:sz w:val="18"/>
                <w:szCs w:val="18"/>
              </w:rPr>
              <w:t>dP</w:t>
            </w:r>
            <w:proofErr w:type="spellEnd"/>
            <w:r w:rsidRPr="00A75EB3">
              <w:rPr>
                <w:rFonts w:ascii="Segoe UI" w:hAnsi="Segoe UI" w:cs="Segoe UI"/>
                <w:i/>
                <w:iCs/>
                <w:sz w:val="18"/>
                <w:szCs w:val="18"/>
              </w:rPr>
              <w:t>/dt, which is a rate of pressure change, not a spatial gradient. These are different things with different units and different physical meanings.</w:t>
            </w:r>
          </w:p>
        </w:tc>
        <w:tc>
          <w:tcPr>
            <w:tcW w:w="6286" w:type="dxa"/>
            <w:vAlign w:val="center"/>
          </w:tcPr>
          <w:p w14:paraId="04F32266" w14:textId="77777777" w:rsidR="004D45AF" w:rsidRPr="00A75EB3" w:rsidRDefault="004D45AF" w:rsidP="000B6C75">
            <w:r w:rsidRPr="00A75EB3">
              <w:rPr>
                <w:rFonts w:ascii="Segoe UI" w:hAnsi="Segoe UI" w:cs="Segoe UI"/>
                <w:i/>
                <w:iCs/>
                <w:sz w:val="18"/>
                <w:szCs w:val="18"/>
              </w:rPr>
              <w:t>Modified, along with mentions of “gradient” in the text.</w:t>
            </w:r>
          </w:p>
        </w:tc>
      </w:tr>
      <w:tr w:rsidR="004D45AF" w:rsidRPr="00A75EB3" w14:paraId="4121F21E" w14:textId="77777777" w:rsidTr="000B6C75">
        <w:tc>
          <w:tcPr>
            <w:tcW w:w="538" w:type="dxa"/>
            <w:vAlign w:val="center"/>
          </w:tcPr>
          <w:p w14:paraId="5E9EFAF6" w14:textId="77777777" w:rsidR="004D45AF" w:rsidRPr="00A75EB3" w:rsidRDefault="004D45AF" w:rsidP="00F70769">
            <w:r w:rsidRPr="00A75EB3">
              <w:rPr>
                <w:rFonts w:ascii="Calibri" w:hAnsi="Calibri" w:cs="Calibri"/>
                <w:sz w:val="18"/>
                <w:szCs w:val="18"/>
              </w:rPr>
              <w:t>33</w:t>
            </w:r>
          </w:p>
        </w:tc>
        <w:tc>
          <w:tcPr>
            <w:tcW w:w="920" w:type="dxa"/>
            <w:vAlign w:val="center"/>
          </w:tcPr>
          <w:p w14:paraId="140EA109" w14:textId="77777777" w:rsidR="004D45AF" w:rsidRPr="00A75EB3" w:rsidRDefault="004D45AF" w:rsidP="00F70769">
            <w:r w:rsidRPr="00A75EB3">
              <w:rPr>
                <w:rFonts w:ascii="Calibri" w:hAnsi="Calibri" w:cs="Calibri"/>
                <w:sz w:val="18"/>
                <w:szCs w:val="18"/>
              </w:rPr>
              <w:t>R1</w:t>
            </w:r>
          </w:p>
        </w:tc>
        <w:tc>
          <w:tcPr>
            <w:tcW w:w="6285" w:type="dxa"/>
            <w:vAlign w:val="center"/>
          </w:tcPr>
          <w:p w14:paraId="10449ECE" w14:textId="77777777" w:rsidR="004D45AF" w:rsidRPr="00A75EB3" w:rsidRDefault="004D45AF" w:rsidP="000B6C75">
            <w:r w:rsidRPr="00A75EB3">
              <w:rPr>
                <w:rFonts w:ascii="Segoe UI" w:hAnsi="Segoe UI" w:cs="Segoe UI"/>
                <w:i/>
                <w:iCs/>
                <w:sz w:val="18"/>
                <w:szCs w:val="18"/>
              </w:rPr>
              <w:t xml:space="preserve">Fig. 5: Axes should be relabelled. What is called "pressure gradient" is </w:t>
            </w:r>
            <w:proofErr w:type="spellStart"/>
            <w:r w:rsidRPr="00A75EB3">
              <w:rPr>
                <w:rFonts w:ascii="Segoe UI" w:hAnsi="Segoe UI" w:cs="Segoe UI"/>
                <w:i/>
                <w:iCs/>
                <w:sz w:val="18"/>
                <w:szCs w:val="18"/>
              </w:rPr>
              <w:t>dP</w:t>
            </w:r>
            <w:proofErr w:type="spellEnd"/>
            <w:r w:rsidRPr="00A75EB3">
              <w:rPr>
                <w:rFonts w:ascii="Segoe UI" w:hAnsi="Segoe UI" w:cs="Segoe UI"/>
                <w:i/>
                <w:iCs/>
                <w:sz w:val="18"/>
                <w:szCs w:val="18"/>
              </w:rPr>
              <w:t>/dt (kPa/h), not a gradient in the spatial sense.</w:t>
            </w:r>
          </w:p>
        </w:tc>
        <w:tc>
          <w:tcPr>
            <w:tcW w:w="6286" w:type="dxa"/>
            <w:vAlign w:val="center"/>
          </w:tcPr>
          <w:p w14:paraId="338CF1B8" w14:textId="77777777" w:rsidR="004D45AF" w:rsidRPr="00A75EB3" w:rsidRDefault="004D45AF" w:rsidP="000B6C75">
            <w:r w:rsidRPr="00A75EB3">
              <w:rPr>
                <w:rFonts w:ascii="Calibri" w:hAnsi="Calibri" w:cs="Calibri"/>
                <w:sz w:val="18"/>
                <w:szCs w:val="18"/>
              </w:rPr>
              <w:t>Modified</w:t>
            </w:r>
          </w:p>
        </w:tc>
      </w:tr>
      <w:tr w:rsidR="004D45AF" w:rsidRPr="00A75EB3" w14:paraId="30C63A78" w14:textId="77777777" w:rsidTr="000B6C75">
        <w:tc>
          <w:tcPr>
            <w:tcW w:w="538" w:type="dxa"/>
            <w:vAlign w:val="center"/>
          </w:tcPr>
          <w:p w14:paraId="4E522D4F" w14:textId="77777777" w:rsidR="004D45AF" w:rsidRPr="00A75EB3" w:rsidRDefault="004D45AF" w:rsidP="00F70769">
            <w:r w:rsidRPr="00A75EB3">
              <w:rPr>
                <w:rFonts w:ascii="Calibri" w:hAnsi="Calibri" w:cs="Calibri"/>
                <w:sz w:val="18"/>
                <w:szCs w:val="18"/>
              </w:rPr>
              <w:t>34</w:t>
            </w:r>
          </w:p>
        </w:tc>
        <w:tc>
          <w:tcPr>
            <w:tcW w:w="920" w:type="dxa"/>
            <w:vAlign w:val="center"/>
          </w:tcPr>
          <w:p w14:paraId="41A10352" w14:textId="77777777" w:rsidR="004D45AF" w:rsidRPr="00A75EB3" w:rsidRDefault="004D45AF" w:rsidP="00F70769">
            <w:r w:rsidRPr="00A75EB3">
              <w:rPr>
                <w:rFonts w:ascii="Calibri" w:hAnsi="Calibri" w:cs="Calibri"/>
                <w:sz w:val="18"/>
                <w:szCs w:val="18"/>
              </w:rPr>
              <w:t>BL</w:t>
            </w:r>
          </w:p>
        </w:tc>
        <w:tc>
          <w:tcPr>
            <w:tcW w:w="6285" w:type="dxa"/>
            <w:vAlign w:val="center"/>
          </w:tcPr>
          <w:p w14:paraId="59092F8A" w14:textId="77777777" w:rsidR="004D45AF" w:rsidRPr="00A75EB3" w:rsidRDefault="004D45AF" w:rsidP="000B6C75">
            <w:r w:rsidRPr="00A75EB3">
              <w:rPr>
                <w:rFonts w:ascii="Segoe UI" w:hAnsi="Segoe UI" w:cs="Segoe UI"/>
                <w:i/>
                <w:iCs/>
                <w:sz w:val="18"/>
                <w:szCs w:val="18"/>
              </w:rPr>
              <w:t>Useful to show which curves are plotted as absolute pressure and which as change in pressure. Also which events are shown here? only 1.2 is labelled?</w:t>
            </w:r>
          </w:p>
        </w:tc>
        <w:tc>
          <w:tcPr>
            <w:tcW w:w="6286" w:type="dxa"/>
            <w:vAlign w:val="center"/>
          </w:tcPr>
          <w:p w14:paraId="5071974D" w14:textId="77777777" w:rsidR="004D45AF" w:rsidRPr="00A75EB3" w:rsidRDefault="004D45AF" w:rsidP="000B6C75">
            <w:r w:rsidRPr="00A75EB3">
              <w:rPr>
                <w:rFonts w:ascii="Segoe UI" w:hAnsi="Segoe UI" w:cs="Segoe UI"/>
                <w:i/>
                <w:iCs/>
                <w:sz w:val="18"/>
                <w:szCs w:val="18"/>
              </w:rPr>
              <w:t>Figure modified, including missing event lines in figs b and c.</w:t>
            </w:r>
          </w:p>
        </w:tc>
      </w:tr>
      <w:tr w:rsidR="004D45AF" w:rsidRPr="00A75EB3" w14:paraId="353F72D0" w14:textId="77777777" w:rsidTr="000B6C75">
        <w:tc>
          <w:tcPr>
            <w:tcW w:w="538" w:type="dxa"/>
            <w:vAlign w:val="center"/>
          </w:tcPr>
          <w:p w14:paraId="3FBDCABC" w14:textId="77777777" w:rsidR="004D45AF" w:rsidRPr="00A75EB3" w:rsidRDefault="004D45AF" w:rsidP="00F70769">
            <w:r w:rsidRPr="00A75EB3">
              <w:rPr>
                <w:rFonts w:ascii="Calibri" w:hAnsi="Calibri" w:cs="Calibri"/>
                <w:sz w:val="18"/>
                <w:szCs w:val="18"/>
              </w:rPr>
              <w:t>35</w:t>
            </w:r>
          </w:p>
        </w:tc>
        <w:tc>
          <w:tcPr>
            <w:tcW w:w="920" w:type="dxa"/>
            <w:vAlign w:val="center"/>
          </w:tcPr>
          <w:p w14:paraId="6F177086" w14:textId="77777777" w:rsidR="004D45AF" w:rsidRPr="00A75EB3" w:rsidRDefault="004D45AF" w:rsidP="00F70769">
            <w:r w:rsidRPr="00A75EB3">
              <w:rPr>
                <w:rFonts w:ascii="Calibri" w:hAnsi="Calibri" w:cs="Calibri"/>
                <w:sz w:val="18"/>
                <w:szCs w:val="18"/>
              </w:rPr>
              <w:t>R1</w:t>
            </w:r>
          </w:p>
        </w:tc>
        <w:tc>
          <w:tcPr>
            <w:tcW w:w="6285" w:type="dxa"/>
            <w:vAlign w:val="center"/>
          </w:tcPr>
          <w:p w14:paraId="7144C9E6" w14:textId="77777777" w:rsidR="004D45AF" w:rsidRPr="00A75EB3" w:rsidRDefault="004D45AF" w:rsidP="000B6C75">
            <w:r w:rsidRPr="00A75EB3">
              <w:rPr>
                <w:rFonts w:ascii="Calibri" w:hAnsi="Calibri" w:cs="Calibri"/>
                <w:b/>
                <w:bCs/>
                <w:sz w:val="18"/>
                <w:szCs w:val="18"/>
              </w:rPr>
              <w:t xml:space="preserve">9. Readability: the event numbering. </w:t>
            </w:r>
            <w:r w:rsidRPr="00A75EB3">
              <w:rPr>
                <w:rFonts w:ascii="Calibri" w:hAnsi="Calibri" w:cs="Calibri"/>
                <w:sz w:val="18"/>
                <w:szCs w:val="18"/>
              </w:rPr>
              <w:t>This is partly a matter of taste, but I found the constant references to "Event 1.0a, 1.0b, 1.1, 1.2, 1.3, 2.0, 2.1, 2.2, 2.3" quite hard going. I should note that these readability concerns are not minor, they slowed down the review process and will likely affect other readers similarly. Every time one appears in the text, I had to flip back to Table 1 to remind myself what it referred to. The narrative would flow much better if the authors used brief descriptive phrases inline, something like "at gas entry" or "at the secondary pressure drop" with the event codes in parentheses for cross-referencing. The precision of the numbering system is fine for a data report, but in a journal paper the readability cost is high.</w:t>
            </w:r>
          </w:p>
        </w:tc>
        <w:tc>
          <w:tcPr>
            <w:tcW w:w="6286" w:type="dxa"/>
            <w:vAlign w:val="center"/>
          </w:tcPr>
          <w:p w14:paraId="77027B41" w14:textId="77777777" w:rsidR="004D45AF" w:rsidRPr="00A75EB3" w:rsidRDefault="004D45AF" w:rsidP="000B6C75">
            <w:r w:rsidRPr="00A75EB3">
              <w:rPr>
                <w:rFonts w:ascii="Calibri" w:hAnsi="Calibri" w:cs="Calibri"/>
                <w:sz w:val="18"/>
                <w:szCs w:val="18"/>
              </w:rPr>
              <w:t>The style of writing has come from about 6 previous papers on field data and many papers on detailed laboratory experiments. Using event labels has been favoured in peer review papers. The paper is ordered as it should be, with data presented, followed by an interpretation of the results. This means that when individual events are first introduced it is uncertain what they are. The only conclusive descriptors are for peak pressure conditions. Introducing events separately from interpretation means if interpretation is later found to be incorrect, the events are still fact. However, the other reviewer suggested including a second table that listed the key events, their time, the gas pressure, and an interpretation. We decided to also add a description of the changes seen in data seen for each event. While this introduces the later interpretation within the results section, we feel this is a better approach. To address the reviewers comments we have indicated when events are peak gas pressures, but not for other events, apart from first gas entry. We hope this satisfies the reviewers points and leave the decision to the editor.</w:t>
            </w:r>
          </w:p>
        </w:tc>
      </w:tr>
      <w:tr w:rsidR="004D45AF" w:rsidRPr="00A75EB3" w14:paraId="6AA0EE60" w14:textId="77777777" w:rsidTr="000B6C75">
        <w:tc>
          <w:tcPr>
            <w:tcW w:w="538" w:type="dxa"/>
            <w:vAlign w:val="center"/>
          </w:tcPr>
          <w:p w14:paraId="5E245553" w14:textId="77777777" w:rsidR="004D45AF" w:rsidRPr="00A75EB3" w:rsidRDefault="004D45AF" w:rsidP="00F70769">
            <w:r w:rsidRPr="00A75EB3">
              <w:rPr>
                <w:rFonts w:ascii="Calibri" w:hAnsi="Calibri" w:cs="Calibri"/>
                <w:sz w:val="18"/>
                <w:szCs w:val="18"/>
              </w:rPr>
              <w:t>36</w:t>
            </w:r>
          </w:p>
        </w:tc>
        <w:tc>
          <w:tcPr>
            <w:tcW w:w="920" w:type="dxa"/>
            <w:vAlign w:val="center"/>
          </w:tcPr>
          <w:p w14:paraId="32EA4119" w14:textId="77777777" w:rsidR="004D45AF" w:rsidRPr="00A75EB3" w:rsidRDefault="004D45AF" w:rsidP="00F70769">
            <w:r w:rsidRPr="00A75EB3">
              <w:rPr>
                <w:rFonts w:ascii="Calibri" w:hAnsi="Calibri" w:cs="Calibri"/>
                <w:sz w:val="18"/>
                <w:szCs w:val="18"/>
              </w:rPr>
              <w:t>BL</w:t>
            </w:r>
          </w:p>
        </w:tc>
        <w:tc>
          <w:tcPr>
            <w:tcW w:w="6285" w:type="dxa"/>
            <w:vAlign w:val="center"/>
          </w:tcPr>
          <w:p w14:paraId="5FD01DCB" w14:textId="77777777" w:rsidR="004D45AF" w:rsidRPr="00A75EB3" w:rsidRDefault="004D45AF" w:rsidP="000B6C75">
            <w:r w:rsidRPr="00A75EB3">
              <w:rPr>
                <w:rFonts w:ascii="Segoe UI" w:hAnsi="Segoe UI" w:cs="Segoe UI"/>
                <w:i/>
                <w:iCs/>
                <w:sz w:val="18"/>
                <w:szCs w:val="18"/>
              </w:rPr>
              <w:t>Is there an explanation for the pressure gradient along BGT-2? IntP01 has a significantly higher pressure than P02 - also good to show labels in Fig 2 for clarity</w:t>
            </w:r>
          </w:p>
        </w:tc>
        <w:tc>
          <w:tcPr>
            <w:tcW w:w="6286" w:type="dxa"/>
            <w:vAlign w:val="center"/>
          </w:tcPr>
          <w:p w14:paraId="4E13DA0C" w14:textId="77777777" w:rsidR="004D45AF" w:rsidRPr="00A75EB3" w:rsidRDefault="004D45AF" w:rsidP="000B6C75">
            <w:r w:rsidRPr="00A75EB3">
              <w:rPr>
                <w:rFonts w:ascii="Segoe UI" w:hAnsi="Segoe UI" w:cs="Segoe UI"/>
                <w:i/>
                <w:iCs/>
                <w:sz w:val="18"/>
                <w:szCs w:val="18"/>
              </w:rPr>
              <w:t>This is discussed in the full report on the test. INTP01 is in the bottom of the hole and has the highest pressure. In general, the pressure reduces as you go up the borehole. Labels have been added to fig.2</w:t>
            </w:r>
          </w:p>
        </w:tc>
      </w:tr>
      <w:tr w:rsidR="004D45AF" w:rsidRPr="00A75EB3" w14:paraId="4EF0EC9A" w14:textId="77777777" w:rsidTr="000B6C75">
        <w:tc>
          <w:tcPr>
            <w:tcW w:w="538" w:type="dxa"/>
            <w:vAlign w:val="center"/>
          </w:tcPr>
          <w:p w14:paraId="3AE5C7EB" w14:textId="77777777" w:rsidR="004D45AF" w:rsidRPr="00A75EB3" w:rsidRDefault="004D45AF" w:rsidP="00F70769">
            <w:r w:rsidRPr="00A75EB3">
              <w:rPr>
                <w:rFonts w:ascii="Calibri" w:hAnsi="Calibri" w:cs="Calibri"/>
                <w:sz w:val="18"/>
                <w:szCs w:val="18"/>
              </w:rPr>
              <w:t>37</w:t>
            </w:r>
          </w:p>
        </w:tc>
        <w:tc>
          <w:tcPr>
            <w:tcW w:w="920" w:type="dxa"/>
            <w:vAlign w:val="center"/>
          </w:tcPr>
          <w:p w14:paraId="1C33638E" w14:textId="77777777" w:rsidR="004D45AF" w:rsidRPr="00A75EB3" w:rsidRDefault="004D45AF" w:rsidP="00F70769">
            <w:r w:rsidRPr="00A75EB3">
              <w:rPr>
                <w:rFonts w:ascii="Calibri" w:hAnsi="Calibri" w:cs="Calibri"/>
                <w:sz w:val="18"/>
                <w:szCs w:val="18"/>
              </w:rPr>
              <w:t>BL</w:t>
            </w:r>
          </w:p>
        </w:tc>
        <w:tc>
          <w:tcPr>
            <w:tcW w:w="6285" w:type="dxa"/>
            <w:vAlign w:val="center"/>
          </w:tcPr>
          <w:p w14:paraId="7A7F089D" w14:textId="77777777" w:rsidR="004D45AF" w:rsidRPr="00A75EB3" w:rsidRDefault="004D45AF" w:rsidP="000B6C75">
            <w:r w:rsidRPr="00A75EB3">
              <w:rPr>
                <w:rFonts w:ascii="Segoe UI" w:hAnsi="Segoe UI" w:cs="Segoe UI"/>
                <w:i/>
                <w:iCs/>
                <w:sz w:val="18"/>
                <w:szCs w:val="18"/>
              </w:rPr>
              <w:t>Do you mean both the other intervals IntP01 and IntP03? or only one?</w:t>
            </w:r>
          </w:p>
        </w:tc>
        <w:tc>
          <w:tcPr>
            <w:tcW w:w="6286" w:type="dxa"/>
            <w:vAlign w:val="center"/>
          </w:tcPr>
          <w:p w14:paraId="767A5A8E" w14:textId="77777777" w:rsidR="004D45AF" w:rsidRPr="00A75EB3" w:rsidRDefault="004D45AF" w:rsidP="000B6C75">
            <w:r w:rsidRPr="00A75EB3">
              <w:rPr>
                <w:rFonts w:ascii="Segoe UI" w:hAnsi="Segoe UI" w:cs="Segoe UI"/>
                <w:i/>
                <w:iCs/>
                <w:sz w:val="18"/>
                <w:szCs w:val="18"/>
              </w:rPr>
              <w:t>Clarified in text</w:t>
            </w:r>
          </w:p>
        </w:tc>
      </w:tr>
      <w:tr w:rsidR="004D45AF" w:rsidRPr="00A75EB3" w14:paraId="3B8264D9" w14:textId="77777777" w:rsidTr="000B6C75">
        <w:tc>
          <w:tcPr>
            <w:tcW w:w="538" w:type="dxa"/>
            <w:vAlign w:val="center"/>
          </w:tcPr>
          <w:p w14:paraId="0BB1A2E5" w14:textId="77777777" w:rsidR="004D45AF" w:rsidRPr="00A75EB3" w:rsidRDefault="004D45AF" w:rsidP="00F70769">
            <w:r w:rsidRPr="00A75EB3">
              <w:rPr>
                <w:rFonts w:ascii="Calibri" w:hAnsi="Calibri" w:cs="Calibri"/>
                <w:sz w:val="18"/>
                <w:szCs w:val="18"/>
              </w:rPr>
              <w:t>38</w:t>
            </w:r>
          </w:p>
        </w:tc>
        <w:tc>
          <w:tcPr>
            <w:tcW w:w="920" w:type="dxa"/>
            <w:vAlign w:val="center"/>
          </w:tcPr>
          <w:p w14:paraId="38C2E197" w14:textId="77777777" w:rsidR="004D45AF" w:rsidRPr="00A75EB3" w:rsidRDefault="004D45AF" w:rsidP="00F70769">
            <w:r w:rsidRPr="00A75EB3">
              <w:rPr>
                <w:rFonts w:ascii="Calibri" w:hAnsi="Calibri" w:cs="Calibri"/>
                <w:sz w:val="18"/>
                <w:szCs w:val="18"/>
              </w:rPr>
              <w:t>BL</w:t>
            </w:r>
          </w:p>
        </w:tc>
        <w:tc>
          <w:tcPr>
            <w:tcW w:w="6285" w:type="dxa"/>
            <w:vAlign w:val="center"/>
          </w:tcPr>
          <w:p w14:paraId="275532C0" w14:textId="77777777" w:rsidR="004D45AF" w:rsidRPr="00A75EB3" w:rsidRDefault="004D45AF" w:rsidP="000B6C75">
            <w:r w:rsidRPr="00A75EB3">
              <w:rPr>
                <w:rFonts w:ascii="Segoe UI" w:hAnsi="Segoe UI" w:cs="Segoe UI"/>
                <w:i/>
                <w:iCs/>
                <w:sz w:val="18"/>
                <w:szCs w:val="18"/>
              </w:rPr>
              <w:t>Useful to quantify the pressure changes they are all small ~1-2kPa?</w:t>
            </w:r>
          </w:p>
        </w:tc>
        <w:tc>
          <w:tcPr>
            <w:tcW w:w="6286" w:type="dxa"/>
            <w:vAlign w:val="center"/>
          </w:tcPr>
          <w:p w14:paraId="0A88C1E0" w14:textId="77777777" w:rsidR="004D45AF" w:rsidRPr="00A75EB3" w:rsidRDefault="004D45AF" w:rsidP="000B6C75">
            <w:r w:rsidRPr="00A75EB3">
              <w:rPr>
                <w:rFonts w:ascii="Segoe UI" w:hAnsi="Segoe UI" w:cs="Segoe UI"/>
                <w:i/>
                <w:iCs/>
                <w:sz w:val="18"/>
                <w:szCs w:val="18"/>
              </w:rPr>
              <w:t>Added to sentence. The changes are real, but the magnitudes are so small and that is why we did not list magnitudes.</w:t>
            </w:r>
          </w:p>
        </w:tc>
      </w:tr>
      <w:tr w:rsidR="004D45AF" w:rsidRPr="00A75EB3" w14:paraId="61131815" w14:textId="77777777" w:rsidTr="000B6C75">
        <w:tc>
          <w:tcPr>
            <w:tcW w:w="538" w:type="dxa"/>
            <w:vAlign w:val="center"/>
          </w:tcPr>
          <w:p w14:paraId="1463B4B2" w14:textId="77777777" w:rsidR="004D45AF" w:rsidRPr="00A75EB3" w:rsidRDefault="004D45AF" w:rsidP="00F70769">
            <w:r w:rsidRPr="00A75EB3">
              <w:rPr>
                <w:rFonts w:ascii="Calibri" w:hAnsi="Calibri" w:cs="Calibri"/>
                <w:sz w:val="18"/>
                <w:szCs w:val="18"/>
              </w:rPr>
              <w:t>39</w:t>
            </w:r>
          </w:p>
        </w:tc>
        <w:tc>
          <w:tcPr>
            <w:tcW w:w="920" w:type="dxa"/>
            <w:vAlign w:val="center"/>
          </w:tcPr>
          <w:p w14:paraId="5017DEAA" w14:textId="77777777" w:rsidR="004D45AF" w:rsidRPr="00A75EB3" w:rsidRDefault="004D45AF" w:rsidP="00F70769">
            <w:r w:rsidRPr="00A75EB3">
              <w:rPr>
                <w:rFonts w:ascii="Calibri" w:hAnsi="Calibri" w:cs="Calibri"/>
                <w:sz w:val="18"/>
                <w:szCs w:val="18"/>
              </w:rPr>
              <w:t>BL</w:t>
            </w:r>
          </w:p>
        </w:tc>
        <w:tc>
          <w:tcPr>
            <w:tcW w:w="6285" w:type="dxa"/>
            <w:vAlign w:val="center"/>
          </w:tcPr>
          <w:p w14:paraId="3EC5FCF8" w14:textId="77777777" w:rsidR="004D45AF" w:rsidRPr="00A75EB3" w:rsidRDefault="004D45AF" w:rsidP="000B6C75">
            <w:r w:rsidRPr="00A75EB3">
              <w:rPr>
                <w:rFonts w:ascii="Segoe UI" w:hAnsi="Segoe UI" w:cs="Segoe UI"/>
                <w:i/>
                <w:iCs/>
                <w:sz w:val="18"/>
                <w:szCs w:val="18"/>
              </w:rPr>
              <w:t>How does this relate to the local bedding dip/strike direction?</w:t>
            </w:r>
          </w:p>
        </w:tc>
        <w:tc>
          <w:tcPr>
            <w:tcW w:w="6286" w:type="dxa"/>
            <w:vAlign w:val="center"/>
          </w:tcPr>
          <w:p w14:paraId="4C868E6F" w14:textId="77777777" w:rsidR="004D45AF" w:rsidRPr="00A75EB3" w:rsidRDefault="004D45AF" w:rsidP="000B6C75">
            <w:r w:rsidRPr="00A75EB3">
              <w:rPr>
                <w:rFonts w:ascii="Segoe UI" w:hAnsi="Segoe UI" w:cs="Segoe UI"/>
                <w:i/>
                <w:iCs/>
                <w:sz w:val="18"/>
                <w:szCs w:val="18"/>
              </w:rPr>
              <w:t>It is similar to the dip direction, so that has now been added.</w:t>
            </w:r>
          </w:p>
        </w:tc>
      </w:tr>
      <w:tr w:rsidR="004D45AF" w:rsidRPr="00A75EB3" w14:paraId="17754380" w14:textId="77777777" w:rsidTr="000B6C75">
        <w:tc>
          <w:tcPr>
            <w:tcW w:w="538" w:type="dxa"/>
            <w:vAlign w:val="center"/>
          </w:tcPr>
          <w:p w14:paraId="348FBCB7" w14:textId="77777777" w:rsidR="004D45AF" w:rsidRPr="00A75EB3" w:rsidRDefault="004D45AF" w:rsidP="00F70769">
            <w:r w:rsidRPr="00A75EB3">
              <w:rPr>
                <w:rFonts w:ascii="Calibri" w:hAnsi="Calibri" w:cs="Calibri"/>
                <w:sz w:val="18"/>
                <w:szCs w:val="18"/>
              </w:rPr>
              <w:t>40</w:t>
            </w:r>
          </w:p>
        </w:tc>
        <w:tc>
          <w:tcPr>
            <w:tcW w:w="920" w:type="dxa"/>
            <w:vAlign w:val="center"/>
          </w:tcPr>
          <w:p w14:paraId="09477F37" w14:textId="77777777" w:rsidR="004D45AF" w:rsidRPr="00A75EB3" w:rsidRDefault="004D45AF" w:rsidP="00F70769">
            <w:r w:rsidRPr="00A75EB3">
              <w:rPr>
                <w:rFonts w:ascii="Calibri" w:hAnsi="Calibri" w:cs="Calibri"/>
                <w:sz w:val="18"/>
                <w:szCs w:val="18"/>
              </w:rPr>
              <w:t>BL</w:t>
            </w:r>
          </w:p>
        </w:tc>
        <w:tc>
          <w:tcPr>
            <w:tcW w:w="6285" w:type="dxa"/>
            <w:vAlign w:val="center"/>
          </w:tcPr>
          <w:p w14:paraId="16E82671" w14:textId="77777777" w:rsidR="004D45AF" w:rsidRPr="00A75EB3" w:rsidRDefault="004D45AF" w:rsidP="000B6C75">
            <w:r w:rsidRPr="00A75EB3">
              <w:rPr>
                <w:rFonts w:ascii="Segoe UI" w:hAnsi="Segoe UI" w:cs="Segoe UI"/>
                <w:i/>
                <w:iCs/>
                <w:sz w:val="18"/>
                <w:szCs w:val="18"/>
              </w:rPr>
              <w:t>Is this based on the volume of the interval + connected gas pathways calculated from the measured rate and observed pressure gradient? Or a different calculation?</w:t>
            </w:r>
          </w:p>
        </w:tc>
        <w:tc>
          <w:tcPr>
            <w:tcW w:w="6286" w:type="dxa"/>
            <w:vAlign w:val="center"/>
          </w:tcPr>
          <w:p w14:paraId="63177F23" w14:textId="45F53216" w:rsidR="004D45AF" w:rsidRPr="00A75EB3" w:rsidRDefault="004D45AF" w:rsidP="000B6C75">
            <w:r w:rsidRPr="00A75EB3">
              <w:rPr>
                <w:rFonts w:ascii="Segoe UI" w:hAnsi="Segoe UI" w:cs="Segoe UI"/>
                <w:i/>
                <w:iCs/>
                <w:sz w:val="18"/>
                <w:szCs w:val="18"/>
              </w:rPr>
              <w:t xml:space="preserve">Sentence has been expanded to make it </w:t>
            </w:r>
            <w:r w:rsidR="0033749A" w:rsidRPr="00A75EB3">
              <w:rPr>
                <w:rFonts w:ascii="Segoe UI" w:hAnsi="Segoe UI" w:cs="Segoe UI"/>
                <w:i/>
                <w:iCs/>
                <w:sz w:val="18"/>
                <w:szCs w:val="18"/>
              </w:rPr>
              <w:t>clearer</w:t>
            </w:r>
            <w:r w:rsidRPr="00A75EB3">
              <w:rPr>
                <w:rFonts w:ascii="Segoe UI" w:hAnsi="Segoe UI" w:cs="Segoe UI"/>
                <w:i/>
                <w:iCs/>
                <w:sz w:val="18"/>
                <w:szCs w:val="18"/>
              </w:rPr>
              <w:t xml:space="preserve"> what we have done. We are estimating the volume of the pathways as being a volume of </w:t>
            </w:r>
            <w:proofErr w:type="spellStart"/>
            <w:r w:rsidRPr="00A75EB3">
              <w:rPr>
                <w:rFonts w:ascii="Segoe UI" w:hAnsi="Segoe UI" w:cs="Segoe UI"/>
                <w:i/>
                <w:iCs/>
                <w:sz w:val="18"/>
                <w:szCs w:val="18"/>
              </w:rPr>
              <w:t>voidage</w:t>
            </w:r>
            <w:proofErr w:type="spellEnd"/>
            <w:r w:rsidRPr="00A75EB3">
              <w:rPr>
                <w:rFonts w:ascii="Segoe UI" w:hAnsi="Segoe UI" w:cs="Segoe UI"/>
                <w:i/>
                <w:iCs/>
                <w:sz w:val="18"/>
                <w:szCs w:val="18"/>
              </w:rPr>
              <w:t xml:space="preserve"> needed to be added to the injection interval to result in the observed pressure reduction.</w:t>
            </w:r>
          </w:p>
        </w:tc>
      </w:tr>
      <w:tr w:rsidR="004D45AF" w:rsidRPr="00A75EB3" w14:paraId="2F7C13A0" w14:textId="77777777" w:rsidTr="000B6C75">
        <w:tc>
          <w:tcPr>
            <w:tcW w:w="538" w:type="dxa"/>
            <w:vAlign w:val="center"/>
          </w:tcPr>
          <w:p w14:paraId="08AB3A8E" w14:textId="77777777" w:rsidR="004D45AF" w:rsidRPr="00A75EB3" w:rsidRDefault="004D45AF" w:rsidP="00F70769">
            <w:r w:rsidRPr="00A75EB3">
              <w:rPr>
                <w:rFonts w:ascii="Calibri" w:hAnsi="Calibri" w:cs="Calibri"/>
                <w:sz w:val="18"/>
                <w:szCs w:val="18"/>
              </w:rPr>
              <w:t>41</w:t>
            </w:r>
          </w:p>
        </w:tc>
        <w:tc>
          <w:tcPr>
            <w:tcW w:w="920" w:type="dxa"/>
            <w:vAlign w:val="center"/>
          </w:tcPr>
          <w:p w14:paraId="2BF1FDC7" w14:textId="77777777" w:rsidR="004D45AF" w:rsidRPr="00A75EB3" w:rsidRDefault="004D45AF" w:rsidP="00F70769">
            <w:r w:rsidRPr="00A75EB3">
              <w:rPr>
                <w:rFonts w:ascii="Calibri" w:hAnsi="Calibri" w:cs="Calibri"/>
                <w:sz w:val="18"/>
                <w:szCs w:val="18"/>
              </w:rPr>
              <w:t>BL</w:t>
            </w:r>
          </w:p>
        </w:tc>
        <w:tc>
          <w:tcPr>
            <w:tcW w:w="6285" w:type="dxa"/>
            <w:vAlign w:val="center"/>
          </w:tcPr>
          <w:p w14:paraId="7DA18ADD" w14:textId="77777777" w:rsidR="004D45AF" w:rsidRPr="00A75EB3" w:rsidRDefault="004D45AF" w:rsidP="000B6C75">
            <w:r w:rsidRPr="00A75EB3">
              <w:rPr>
                <w:rFonts w:ascii="Segoe UI" w:hAnsi="Segoe UI" w:cs="Segoe UI"/>
                <w:i/>
                <w:iCs/>
                <w:sz w:val="18"/>
                <w:szCs w:val="18"/>
              </w:rPr>
              <w:t>Same pressure as [2.0]? does not look consistent with Figure 8b?</w:t>
            </w:r>
          </w:p>
        </w:tc>
        <w:tc>
          <w:tcPr>
            <w:tcW w:w="6286" w:type="dxa"/>
            <w:vAlign w:val="center"/>
          </w:tcPr>
          <w:p w14:paraId="39593CBE" w14:textId="77777777" w:rsidR="004D45AF" w:rsidRPr="00A75EB3" w:rsidRDefault="004D45AF" w:rsidP="000B6C75">
            <w:r w:rsidRPr="00A75EB3">
              <w:rPr>
                <w:rFonts w:ascii="Segoe UI" w:hAnsi="Segoe UI" w:cs="Segoe UI"/>
                <w:i/>
                <w:iCs/>
                <w:sz w:val="18"/>
                <w:szCs w:val="18"/>
              </w:rPr>
              <w:t>I’ve changed the numbers to 4 significant figures as you are right, it appears the same number.</w:t>
            </w:r>
          </w:p>
        </w:tc>
      </w:tr>
      <w:tr w:rsidR="004D45AF" w:rsidRPr="00A75EB3" w14:paraId="253F5F61" w14:textId="77777777" w:rsidTr="000B6C75">
        <w:tc>
          <w:tcPr>
            <w:tcW w:w="538" w:type="dxa"/>
            <w:vAlign w:val="center"/>
          </w:tcPr>
          <w:p w14:paraId="4609A95B" w14:textId="77777777" w:rsidR="004D45AF" w:rsidRPr="00A75EB3" w:rsidRDefault="004D45AF" w:rsidP="00F70769">
            <w:r w:rsidRPr="00A75EB3">
              <w:rPr>
                <w:rFonts w:ascii="Calibri" w:hAnsi="Calibri" w:cs="Calibri"/>
                <w:sz w:val="18"/>
                <w:szCs w:val="18"/>
              </w:rPr>
              <w:lastRenderedPageBreak/>
              <w:t>42</w:t>
            </w:r>
          </w:p>
        </w:tc>
        <w:tc>
          <w:tcPr>
            <w:tcW w:w="920" w:type="dxa"/>
            <w:vAlign w:val="center"/>
          </w:tcPr>
          <w:p w14:paraId="7BB2E5CA" w14:textId="77777777" w:rsidR="004D45AF" w:rsidRPr="00A75EB3" w:rsidRDefault="004D45AF" w:rsidP="00F70769">
            <w:r w:rsidRPr="00A75EB3">
              <w:rPr>
                <w:rFonts w:ascii="Calibri" w:hAnsi="Calibri" w:cs="Calibri"/>
                <w:sz w:val="18"/>
                <w:szCs w:val="18"/>
              </w:rPr>
              <w:t>BL</w:t>
            </w:r>
          </w:p>
        </w:tc>
        <w:tc>
          <w:tcPr>
            <w:tcW w:w="6285" w:type="dxa"/>
            <w:vAlign w:val="center"/>
          </w:tcPr>
          <w:p w14:paraId="19267F81" w14:textId="77777777" w:rsidR="004D45AF" w:rsidRPr="00A75EB3" w:rsidRDefault="004D45AF" w:rsidP="000B6C75">
            <w:r w:rsidRPr="00A75EB3">
              <w:rPr>
                <w:rFonts w:ascii="Segoe UI" w:hAnsi="Segoe UI" w:cs="Segoe UI"/>
                <w:i/>
                <w:iCs/>
                <w:sz w:val="18"/>
                <w:szCs w:val="18"/>
              </w:rPr>
              <w:t>Again 3720kPa does not quite look consistent with 8b?</w:t>
            </w:r>
          </w:p>
        </w:tc>
        <w:tc>
          <w:tcPr>
            <w:tcW w:w="6286" w:type="dxa"/>
            <w:vAlign w:val="center"/>
          </w:tcPr>
          <w:p w14:paraId="74F63AEC" w14:textId="77777777" w:rsidR="004D45AF" w:rsidRPr="00A75EB3" w:rsidRDefault="004D45AF" w:rsidP="000B6C75">
            <w:r w:rsidRPr="00A75EB3">
              <w:rPr>
                <w:rFonts w:ascii="Segoe UI" w:hAnsi="Segoe UI" w:cs="Segoe UI"/>
                <w:i/>
                <w:iCs/>
                <w:sz w:val="18"/>
                <w:szCs w:val="18"/>
              </w:rPr>
              <w:t>Changed to 4 significant figures</w:t>
            </w:r>
          </w:p>
        </w:tc>
      </w:tr>
      <w:tr w:rsidR="004D45AF" w:rsidRPr="00A75EB3" w14:paraId="0167A27B" w14:textId="77777777" w:rsidTr="000B6C75">
        <w:tc>
          <w:tcPr>
            <w:tcW w:w="538" w:type="dxa"/>
            <w:vAlign w:val="center"/>
          </w:tcPr>
          <w:p w14:paraId="0B3AD898" w14:textId="77777777" w:rsidR="004D45AF" w:rsidRPr="00A75EB3" w:rsidRDefault="004D45AF" w:rsidP="00F70769">
            <w:r w:rsidRPr="00A75EB3">
              <w:rPr>
                <w:rFonts w:ascii="Calibri" w:hAnsi="Calibri" w:cs="Calibri"/>
                <w:sz w:val="18"/>
                <w:szCs w:val="18"/>
              </w:rPr>
              <w:t>43</w:t>
            </w:r>
          </w:p>
        </w:tc>
        <w:tc>
          <w:tcPr>
            <w:tcW w:w="920" w:type="dxa"/>
            <w:vAlign w:val="center"/>
          </w:tcPr>
          <w:p w14:paraId="6B93F637" w14:textId="77777777" w:rsidR="004D45AF" w:rsidRPr="00A75EB3" w:rsidRDefault="004D45AF" w:rsidP="00F70769">
            <w:r w:rsidRPr="00A75EB3">
              <w:rPr>
                <w:rFonts w:ascii="Calibri" w:hAnsi="Calibri" w:cs="Calibri"/>
                <w:sz w:val="18"/>
                <w:szCs w:val="18"/>
              </w:rPr>
              <w:t>BL</w:t>
            </w:r>
          </w:p>
        </w:tc>
        <w:tc>
          <w:tcPr>
            <w:tcW w:w="6285" w:type="dxa"/>
            <w:vAlign w:val="center"/>
          </w:tcPr>
          <w:p w14:paraId="26598242" w14:textId="77777777" w:rsidR="004D45AF" w:rsidRPr="00A75EB3" w:rsidRDefault="004D45AF" w:rsidP="000B6C75">
            <w:r w:rsidRPr="00A75EB3">
              <w:rPr>
                <w:rFonts w:ascii="Segoe UI" w:hAnsi="Segoe UI" w:cs="Segoe UI"/>
                <w:i/>
                <w:iCs/>
                <w:sz w:val="18"/>
                <w:szCs w:val="18"/>
              </w:rPr>
              <w:t>This seems much bigger than those shown in Figure 6?</w:t>
            </w:r>
          </w:p>
        </w:tc>
        <w:tc>
          <w:tcPr>
            <w:tcW w:w="6286" w:type="dxa"/>
            <w:vAlign w:val="center"/>
          </w:tcPr>
          <w:p w14:paraId="52E6F591" w14:textId="653591CC" w:rsidR="004D45AF" w:rsidRPr="00A75EB3" w:rsidRDefault="004D45AF" w:rsidP="000B6C75">
            <w:r w:rsidRPr="00A75EB3">
              <w:rPr>
                <w:rFonts w:ascii="Segoe UI" w:hAnsi="Segoe UI" w:cs="Segoe UI"/>
                <w:i/>
                <w:iCs/>
                <w:sz w:val="18"/>
                <w:szCs w:val="18"/>
              </w:rPr>
              <w:t xml:space="preserve">They are, which we have added. It is good evidence that </w:t>
            </w:r>
            <w:r w:rsidR="0033749A" w:rsidRPr="00A75EB3">
              <w:rPr>
                <w:rFonts w:ascii="Segoe UI" w:hAnsi="Segoe UI" w:cs="Segoe UI"/>
                <w:i/>
                <w:iCs/>
                <w:sz w:val="18"/>
                <w:szCs w:val="18"/>
              </w:rPr>
              <w:t>events</w:t>
            </w:r>
            <w:r w:rsidRPr="00A75EB3">
              <w:rPr>
                <w:rFonts w:ascii="Segoe UI" w:hAnsi="Segoe UI" w:cs="Segoe UI"/>
                <w:i/>
                <w:iCs/>
                <w:sz w:val="18"/>
                <w:szCs w:val="18"/>
              </w:rPr>
              <w:t xml:space="preserve"> 1 and 2 are very different.</w:t>
            </w:r>
          </w:p>
        </w:tc>
      </w:tr>
      <w:tr w:rsidR="004D45AF" w:rsidRPr="00A75EB3" w14:paraId="233D3A56" w14:textId="77777777" w:rsidTr="000B6C75">
        <w:tc>
          <w:tcPr>
            <w:tcW w:w="538" w:type="dxa"/>
            <w:vAlign w:val="center"/>
          </w:tcPr>
          <w:p w14:paraId="7FD1043F" w14:textId="77777777" w:rsidR="004D45AF" w:rsidRPr="00A75EB3" w:rsidRDefault="004D45AF" w:rsidP="00F70769">
            <w:r w:rsidRPr="00A75EB3">
              <w:rPr>
                <w:rFonts w:ascii="Calibri" w:hAnsi="Calibri" w:cs="Calibri"/>
                <w:sz w:val="18"/>
                <w:szCs w:val="18"/>
              </w:rPr>
              <w:t>44</w:t>
            </w:r>
          </w:p>
        </w:tc>
        <w:tc>
          <w:tcPr>
            <w:tcW w:w="920" w:type="dxa"/>
            <w:vAlign w:val="center"/>
          </w:tcPr>
          <w:p w14:paraId="109CF49B" w14:textId="77777777" w:rsidR="004D45AF" w:rsidRPr="00A75EB3" w:rsidRDefault="004D45AF" w:rsidP="00F70769">
            <w:r w:rsidRPr="00A75EB3">
              <w:rPr>
                <w:rFonts w:ascii="Calibri" w:hAnsi="Calibri" w:cs="Calibri"/>
                <w:sz w:val="18"/>
                <w:szCs w:val="18"/>
              </w:rPr>
              <w:t>BL</w:t>
            </w:r>
          </w:p>
        </w:tc>
        <w:tc>
          <w:tcPr>
            <w:tcW w:w="6285" w:type="dxa"/>
            <w:vAlign w:val="center"/>
          </w:tcPr>
          <w:p w14:paraId="706085CB" w14:textId="77777777" w:rsidR="004D45AF" w:rsidRPr="00A75EB3" w:rsidRDefault="004D45AF" w:rsidP="000B6C75">
            <w:r w:rsidRPr="00A75EB3">
              <w:rPr>
                <w:rFonts w:ascii="Segoe UI" w:hAnsi="Segoe UI" w:cs="Segoe UI"/>
                <w:i/>
                <w:iCs/>
                <w:sz w:val="18"/>
                <w:szCs w:val="18"/>
              </w:rPr>
              <w:t>Perhaps indicate local bedding dip on sides of cube?</w:t>
            </w:r>
          </w:p>
        </w:tc>
        <w:tc>
          <w:tcPr>
            <w:tcW w:w="6286" w:type="dxa"/>
            <w:vAlign w:val="center"/>
          </w:tcPr>
          <w:p w14:paraId="41F9B262" w14:textId="77777777" w:rsidR="004D45AF" w:rsidRPr="00A75EB3" w:rsidRDefault="004D45AF" w:rsidP="000B6C75">
            <w:r w:rsidRPr="00A75EB3">
              <w:rPr>
                <w:rFonts w:ascii="Segoe UI" w:hAnsi="Segoe UI" w:cs="Segoe UI"/>
                <w:i/>
                <w:iCs/>
                <w:sz w:val="18"/>
                <w:szCs w:val="18"/>
              </w:rPr>
              <w:t>Added arrow to cube, also rotated the cube to emphasise that the borehole arrangement is angled to be perpendicular to bedding.</w:t>
            </w:r>
          </w:p>
        </w:tc>
      </w:tr>
      <w:tr w:rsidR="004D45AF" w:rsidRPr="00A75EB3" w14:paraId="09A005E8" w14:textId="77777777" w:rsidTr="000B6C75">
        <w:tc>
          <w:tcPr>
            <w:tcW w:w="538" w:type="dxa"/>
            <w:vAlign w:val="center"/>
          </w:tcPr>
          <w:p w14:paraId="7EF3BBD2" w14:textId="77777777" w:rsidR="004D45AF" w:rsidRPr="00A75EB3" w:rsidRDefault="004D45AF" w:rsidP="00F70769">
            <w:r w:rsidRPr="00A75EB3">
              <w:rPr>
                <w:rFonts w:ascii="Calibri" w:hAnsi="Calibri" w:cs="Calibri"/>
                <w:sz w:val="18"/>
                <w:szCs w:val="18"/>
              </w:rPr>
              <w:t>45</w:t>
            </w:r>
          </w:p>
        </w:tc>
        <w:tc>
          <w:tcPr>
            <w:tcW w:w="920" w:type="dxa"/>
            <w:vAlign w:val="center"/>
          </w:tcPr>
          <w:p w14:paraId="67796B89" w14:textId="77777777" w:rsidR="004D45AF" w:rsidRPr="00A75EB3" w:rsidRDefault="004D45AF" w:rsidP="00F70769">
            <w:r w:rsidRPr="00A75EB3">
              <w:rPr>
                <w:rFonts w:ascii="Calibri" w:hAnsi="Calibri" w:cs="Calibri"/>
                <w:sz w:val="18"/>
                <w:szCs w:val="18"/>
              </w:rPr>
              <w:t>BL</w:t>
            </w:r>
          </w:p>
        </w:tc>
        <w:tc>
          <w:tcPr>
            <w:tcW w:w="6285" w:type="dxa"/>
            <w:vAlign w:val="center"/>
          </w:tcPr>
          <w:p w14:paraId="381F578A" w14:textId="77777777" w:rsidR="004D45AF" w:rsidRPr="00A75EB3" w:rsidRDefault="004D45AF" w:rsidP="000B6C75">
            <w:r w:rsidRPr="00A75EB3">
              <w:rPr>
                <w:rFonts w:ascii="Segoe UI" w:hAnsi="Segoe UI" w:cs="Segoe UI"/>
                <w:i/>
                <w:iCs/>
                <w:sz w:val="18"/>
                <w:szCs w:val="18"/>
              </w:rPr>
              <w:t>Presumably these boreholes are open allowing easy gas transport from any open fracture that intersect them?</w:t>
            </w:r>
          </w:p>
        </w:tc>
        <w:tc>
          <w:tcPr>
            <w:tcW w:w="6286" w:type="dxa"/>
            <w:vAlign w:val="center"/>
          </w:tcPr>
          <w:p w14:paraId="256E0AC6" w14:textId="77777777" w:rsidR="004D45AF" w:rsidRPr="00A75EB3" w:rsidRDefault="004D45AF" w:rsidP="000B6C75">
            <w:r w:rsidRPr="00A75EB3">
              <w:rPr>
                <w:rFonts w:ascii="Segoe UI" w:hAnsi="Segoe UI" w:cs="Segoe UI"/>
                <w:i/>
                <w:iCs/>
                <w:sz w:val="18"/>
                <w:szCs w:val="18"/>
              </w:rPr>
              <w:t>No, BGT-3 to 9 were grouted with water, OPA, bentonite and cement. This clearly hadn‘t sealed the boreholes to gas at pressure.</w:t>
            </w:r>
          </w:p>
        </w:tc>
      </w:tr>
      <w:tr w:rsidR="004D45AF" w:rsidRPr="00A75EB3" w14:paraId="1C2D50AD" w14:textId="77777777" w:rsidTr="000B6C75">
        <w:tc>
          <w:tcPr>
            <w:tcW w:w="538" w:type="dxa"/>
            <w:vAlign w:val="center"/>
          </w:tcPr>
          <w:p w14:paraId="5B0F3CB1" w14:textId="77777777" w:rsidR="004D45AF" w:rsidRPr="00A75EB3" w:rsidRDefault="004D45AF" w:rsidP="00F70769">
            <w:r w:rsidRPr="00A75EB3">
              <w:rPr>
                <w:rFonts w:ascii="Calibri" w:hAnsi="Calibri" w:cs="Calibri"/>
                <w:sz w:val="18"/>
                <w:szCs w:val="18"/>
              </w:rPr>
              <w:t>46</w:t>
            </w:r>
          </w:p>
        </w:tc>
        <w:tc>
          <w:tcPr>
            <w:tcW w:w="920" w:type="dxa"/>
            <w:vAlign w:val="center"/>
          </w:tcPr>
          <w:p w14:paraId="729840F8" w14:textId="77777777" w:rsidR="004D45AF" w:rsidRPr="00A75EB3" w:rsidRDefault="004D45AF" w:rsidP="00F70769">
            <w:r w:rsidRPr="00A75EB3">
              <w:rPr>
                <w:rFonts w:ascii="Calibri" w:hAnsi="Calibri" w:cs="Calibri"/>
                <w:sz w:val="18"/>
                <w:szCs w:val="18"/>
              </w:rPr>
              <w:t>R1</w:t>
            </w:r>
          </w:p>
        </w:tc>
        <w:tc>
          <w:tcPr>
            <w:tcW w:w="6285" w:type="dxa"/>
            <w:vAlign w:val="center"/>
          </w:tcPr>
          <w:p w14:paraId="56014ECC" w14:textId="77777777" w:rsidR="004D45AF" w:rsidRPr="00A75EB3" w:rsidRDefault="004D45AF" w:rsidP="000B6C75">
            <w:r w:rsidRPr="00A75EB3">
              <w:rPr>
                <w:rFonts w:ascii="Segoe UI" w:hAnsi="Segoe UI" w:cs="Segoe UI"/>
                <w:b/>
                <w:bCs/>
                <w:i/>
                <w:iCs/>
                <w:sz w:val="18"/>
                <w:szCs w:val="18"/>
              </w:rPr>
              <w:t xml:space="preserve">6) Are the injection rates representative? </w:t>
            </w:r>
            <w:r w:rsidRPr="00A75EB3">
              <w:rPr>
                <w:rFonts w:ascii="Segoe UI" w:hAnsi="Segoe UI" w:cs="Segoe UI"/>
                <w:i/>
                <w:iCs/>
                <w:sz w:val="18"/>
                <w:szCs w:val="18"/>
              </w:rPr>
              <w:t>The transition from dilatant flow to bedding-plane splitting is attributed to increased injection rate, which is the central finding of the paper. But the injection rates used (up to 12 ml/h, with stepwise increases designed to push the system) are far higher than anticipated gas generation rates in a repository, which are typically orders of magnitude lower and sustained over millennia rather than days. This raises an obvious question: is the Event 2 transition something that could occur under repository conditions, or is it an artefact of the aggressive injection protocol? The authors touch on this in the conclusions (stating the results are "site-specific" and should be interpreted as "process-level insights"), but I think this deserves a more discussion. What are expected repository gas generation rates? At what rate might dilatancy alone be sufficient to relieve pressure?</w:t>
            </w:r>
          </w:p>
        </w:tc>
        <w:tc>
          <w:tcPr>
            <w:tcW w:w="6286" w:type="dxa"/>
            <w:vAlign w:val="center"/>
          </w:tcPr>
          <w:p w14:paraId="0B38C6BF" w14:textId="4622ECF9" w:rsidR="004D45AF" w:rsidRPr="00A75EB3" w:rsidRDefault="004D45AF" w:rsidP="000B6C75">
            <w:r w:rsidRPr="00A75EB3">
              <w:rPr>
                <w:rFonts w:ascii="Segoe UI" w:hAnsi="Segoe UI" w:cs="Segoe UI"/>
                <w:i/>
                <w:iCs/>
                <w:sz w:val="18"/>
                <w:szCs w:val="18"/>
              </w:rPr>
              <w:t xml:space="preserve">It is not possible to conduct experiments over truly realistic pressurisation rates as they would take too long. Both laboratory and field test have to be a compromise between true representation and length of tests. GT was pressurised at a very conservative rate, slower than other field tests, in some cases orders of magnitude slower. These often employ stepped pressure changes, which for short periods are gas pressurisation rates orders of magnitude greater than we employed. The current study suggests this approach could invoke gas fracture. </w:t>
            </w:r>
            <w:r w:rsidR="0033749A" w:rsidRPr="00A75EB3">
              <w:rPr>
                <w:rFonts w:ascii="Segoe UI" w:hAnsi="Segoe UI" w:cs="Segoe UI"/>
                <w:i/>
                <w:iCs/>
                <w:sz w:val="18"/>
                <w:szCs w:val="18"/>
              </w:rPr>
              <w:t>Therefore,</w:t>
            </w:r>
            <w:r w:rsidRPr="00A75EB3">
              <w:rPr>
                <w:rFonts w:ascii="Segoe UI" w:hAnsi="Segoe UI" w:cs="Segoe UI"/>
                <w:i/>
                <w:iCs/>
                <w:sz w:val="18"/>
                <w:szCs w:val="18"/>
              </w:rPr>
              <w:t xml:space="preserve"> one take home message from this study should be rapid pressurisation of OPA is not desirable. GT is designed as an end member consideration and is therefore at the extreme end of scenarios. It warns that pressure management is vital and Nagra’s solution is to include sand/bentonite to regulate gas pressure. There are scenarios where gas pressure can be raised in one sealed part of the GDF, and when pressure exceeds that seal, result in much more rapid </w:t>
            </w:r>
            <w:r w:rsidR="00E82941" w:rsidRPr="00A75EB3">
              <w:rPr>
                <w:rFonts w:ascii="Segoe UI" w:hAnsi="Segoe UI" w:cs="Segoe UI"/>
                <w:i/>
                <w:iCs/>
                <w:sz w:val="18"/>
                <w:szCs w:val="18"/>
              </w:rPr>
              <w:t>pressure</w:t>
            </w:r>
          </w:p>
        </w:tc>
      </w:tr>
      <w:tr w:rsidR="004D45AF" w:rsidRPr="00A75EB3" w14:paraId="0E6552BC" w14:textId="77777777" w:rsidTr="000B6C75">
        <w:tc>
          <w:tcPr>
            <w:tcW w:w="538" w:type="dxa"/>
            <w:vAlign w:val="center"/>
          </w:tcPr>
          <w:p w14:paraId="117CB4AC" w14:textId="77777777" w:rsidR="004D45AF" w:rsidRPr="00A75EB3" w:rsidRDefault="004D45AF" w:rsidP="00F70769">
            <w:r w:rsidRPr="00A75EB3">
              <w:rPr>
                <w:rFonts w:ascii="Calibri" w:hAnsi="Calibri" w:cs="Calibri"/>
                <w:sz w:val="18"/>
                <w:szCs w:val="18"/>
              </w:rPr>
              <w:t>47</w:t>
            </w:r>
          </w:p>
        </w:tc>
        <w:tc>
          <w:tcPr>
            <w:tcW w:w="920" w:type="dxa"/>
            <w:vAlign w:val="center"/>
          </w:tcPr>
          <w:p w14:paraId="782BEA52" w14:textId="77777777" w:rsidR="004D45AF" w:rsidRPr="00A75EB3" w:rsidRDefault="004D45AF" w:rsidP="00F70769">
            <w:r w:rsidRPr="00A75EB3">
              <w:rPr>
                <w:rFonts w:ascii="Calibri" w:hAnsi="Calibri" w:cs="Calibri"/>
                <w:sz w:val="18"/>
                <w:szCs w:val="18"/>
              </w:rPr>
              <w:t>BL</w:t>
            </w:r>
          </w:p>
        </w:tc>
        <w:tc>
          <w:tcPr>
            <w:tcW w:w="6285" w:type="dxa"/>
            <w:vAlign w:val="center"/>
          </w:tcPr>
          <w:p w14:paraId="47C942B3" w14:textId="77777777" w:rsidR="004D45AF" w:rsidRPr="00A75EB3" w:rsidRDefault="004D45AF" w:rsidP="000B6C75">
            <w:r w:rsidRPr="00A75EB3">
              <w:rPr>
                <w:rFonts w:ascii="Calibri" w:hAnsi="Calibri" w:cs="Calibri"/>
                <w:sz w:val="18"/>
                <w:szCs w:val="18"/>
              </w:rPr>
              <w:t xml:space="preserve">Interpretation sections 4.1 and 4.2 The authors discuss a “modelled stress field”, when referring to the stress tensor estimated by Guglielmi et al.(2020) from stimulation tests performed around the Main Fault on the basis of a model solution that “reasonably matches measured displacements, fault opening pressure and flow-rate variations with time”. Guglielmi et al. (2020) estimate an accuracy of ?15? of the tensor orientation and of ?1 MPa of the principal values. It would be useful to discuss the significant uncertainty in any stress estimates at Mont Terri URL and perhaps consider alternative estimates (see Jaeggi et al. 2016 and/or Valley 2026) in the paper rather than base the interpretation solely on the best estimate from Guglielmi et al. (2020). The interpretation of event 2 as occurring at “sub-critical” stress may need to be revised if uncertainty on minimum stress and equivalently bedding normal stress are considered. Bedding normal stress has been measured at the GS site as 4.2MPa but this will vary with local bedding orientation and stress variation across the URL (e.g. influence of overburden and Main Fault). If the bedding normal stress at the GT site was significantly lower </w:t>
            </w:r>
            <w:proofErr w:type="spellStart"/>
            <w:r w:rsidRPr="00A75EB3">
              <w:rPr>
                <w:rFonts w:ascii="Calibri" w:hAnsi="Calibri" w:cs="Calibri"/>
                <w:sz w:val="18"/>
                <w:szCs w:val="18"/>
              </w:rPr>
              <w:t>then</w:t>
            </w:r>
            <w:proofErr w:type="spellEnd"/>
            <w:r w:rsidRPr="00A75EB3">
              <w:rPr>
                <w:rFonts w:ascii="Calibri" w:hAnsi="Calibri" w:cs="Calibri"/>
                <w:sz w:val="18"/>
                <w:szCs w:val="18"/>
              </w:rPr>
              <w:t xml:space="preserve"> Event 2 could be interpreted as normal opening after the earlier gas invasion (Event 1). Insights from the FS experiment in terms of the </w:t>
            </w:r>
            <w:r w:rsidRPr="00A75EB3">
              <w:rPr>
                <w:rFonts w:ascii="Calibri" w:hAnsi="Calibri" w:cs="Calibri"/>
                <w:sz w:val="18"/>
                <w:szCs w:val="18"/>
              </w:rPr>
              <w:lastRenderedPageBreak/>
              <w:t>dynamics of fracture/fault opening and the importance of shear deformation (Cappa et al. 2022) might be useful in understanding the observations from GT. There are also potential similarities with observations from previous work at Mont Terri in the GS (</w:t>
            </w:r>
            <w:proofErr w:type="spellStart"/>
            <w:r w:rsidRPr="00A75EB3">
              <w:rPr>
                <w:rFonts w:ascii="Calibri" w:hAnsi="Calibri" w:cs="Calibri"/>
                <w:sz w:val="18"/>
                <w:szCs w:val="18"/>
              </w:rPr>
              <w:t>Daneshy</w:t>
            </w:r>
            <w:proofErr w:type="spellEnd"/>
            <w:r w:rsidRPr="00A75EB3">
              <w:rPr>
                <w:rFonts w:ascii="Calibri" w:hAnsi="Calibri" w:cs="Calibri"/>
                <w:sz w:val="18"/>
                <w:szCs w:val="18"/>
              </w:rPr>
              <w:t xml:space="preserve"> et al. 2004) and HG-C/HG-D experiments that could usefully be highlighted in the text. In particular the inferred fracture growth pattern (see Figure 15 from </w:t>
            </w:r>
            <w:proofErr w:type="spellStart"/>
            <w:r w:rsidRPr="00A75EB3">
              <w:rPr>
                <w:rFonts w:ascii="Calibri" w:hAnsi="Calibri" w:cs="Calibri"/>
                <w:sz w:val="18"/>
                <w:szCs w:val="18"/>
              </w:rPr>
              <w:t>Daneshy</w:t>
            </w:r>
            <w:proofErr w:type="spellEnd"/>
            <w:r w:rsidRPr="00A75EB3">
              <w:rPr>
                <w:rFonts w:ascii="Calibri" w:hAnsi="Calibri" w:cs="Calibri"/>
                <w:sz w:val="18"/>
                <w:szCs w:val="18"/>
              </w:rPr>
              <w:t xml:space="preserve"> et al. 2004).</w:t>
            </w:r>
          </w:p>
        </w:tc>
        <w:tc>
          <w:tcPr>
            <w:tcW w:w="6286" w:type="dxa"/>
            <w:vAlign w:val="center"/>
          </w:tcPr>
          <w:p w14:paraId="0F10B10F" w14:textId="6F1F6D7F" w:rsidR="004D45AF" w:rsidRPr="00A75EB3" w:rsidRDefault="004D45AF" w:rsidP="000B6C75">
            <w:r w:rsidRPr="00A75EB3">
              <w:rPr>
                <w:rFonts w:ascii="Calibri" w:hAnsi="Calibri" w:cs="Calibri"/>
                <w:sz w:val="18"/>
                <w:szCs w:val="18"/>
              </w:rPr>
              <w:lastRenderedPageBreak/>
              <w:t xml:space="preserve">The paper has been updated sufficiently to answer this query. We can only go on the best available estimate of stress, and to date, that is the Guglielmi paper. We base our interpretation not only on the field results, but also the laboratory tests (Cuss, 2024), where we have a well constrained minimum stress. In these tests, gas entry in 4 tests has occurred at the minimum stress (confining pressure) and has never approached a condition of tensile fracturing. It would be </w:t>
            </w:r>
            <w:r w:rsidR="00E82941" w:rsidRPr="00A75EB3">
              <w:rPr>
                <w:rFonts w:ascii="Calibri" w:hAnsi="Calibri" w:cs="Calibri"/>
                <w:sz w:val="18"/>
                <w:szCs w:val="18"/>
              </w:rPr>
              <w:t>peculiar</w:t>
            </w:r>
            <w:r w:rsidRPr="00A75EB3">
              <w:rPr>
                <w:rFonts w:ascii="Calibri" w:hAnsi="Calibri" w:cs="Calibri"/>
                <w:sz w:val="18"/>
                <w:szCs w:val="18"/>
              </w:rPr>
              <w:t xml:space="preserve"> for the field test to behave differently from the laboratory. As Guglielmi is considered the best estimate, we have used that. Not for </w:t>
            </w:r>
            <w:r w:rsidR="00E82941" w:rsidRPr="00A75EB3">
              <w:rPr>
                <w:rFonts w:ascii="Calibri" w:hAnsi="Calibri" w:cs="Calibri"/>
                <w:sz w:val="18"/>
                <w:szCs w:val="18"/>
              </w:rPr>
              <w:t>convenience</w:t>
            </w:r>
            <w:r w:rsidRPr="00A75EB3">
              <w:rPr>
                <w:rFonts w:ascii="Calibri" w:hAnsi="Calibri" w:cs="Calibri"/>
                <w:sz w:val="18"/>
                <w:szCs w:val="18"/>
              </w:rPr>
              <w:t>, but because swisstopo suggested this was the better estimate. We have stated sufficiently that stress is uncertain.</w:t>
            </w:r>
          </w:p>
        </w:tc>
      </w:tr>
      <w:tr w:rsidR="004D45AF" w:rsidRPr="00A75EB3" w14:paraId="2863C8EF" w14:textId="77777777" w:rsidTr="000B6C75">
        <w:tc>
          <w:tcPr>
            <w:tcW w:w="538" w:type="dxa"/>
            <w:vAlign w:val="center"/>
          </w:tcPr>
          <w:p w14:paraId="6023B84F" w14:textId="77777777" w:rsidR="004D45AF" w:rsidRPr="00A75EB3" w:rsidRDefault="004D45AF" w:rsidP="00F70769">
            <w:r w:rsidRPr="00A75EB3">
              <w:rPr>
                <w:rFonts w:ascii="Calibri" w:hAnsi="Calibri" w:cs="Calibri"/>
                <w:sz w:val="18"/>
                <w:szCs w:val="18"/>
              </w:rPr>
              <w:t>48</w:t>
            </w:r>
          </w:p>
        </w:tc>
        <w:tc>
          <w:tcPr>
            <w:tcW w:w="920" w:type="dxa"/>
            <w:vAlign w:val="center"/>
          </w:tcPr>
          <w:p w14:paraId="55628983" w14:textId="77777777" w:rsidR="004D45AF" w:rsidRPr="00A75EB3" w:rsidRDefault="004D45AF" w:rsidP="00F70769">
            <w:r w:rsidRPr="00A75EB3">
              <w:rPr>
                <w:rFonts w:ascii="Calibri" w:hAnsi="Calibri" w:cs="Calibri"/>
                <w:sz w:val="18"/>
                <w:szCs w:val="18"/>
              </w:rPr>
              <w:t>R1</w:t>
            </w:r>
          </w:p>
        </w:tc>
        <w:tc>
          <w:tcPr>
            <w:tcW w:w="6285" w:type="dxa"/>
            <w:vAlign w:val="center"/>
          </w:tcPr>
          <w:p w14:paraId="40424620" w14:textId="77777777" w:rsidR="004D45AF" w:rsidRPr="00A75EB3" w:rsidRDefault="004D45AF" w:rsidP="000B6C75">
            <w:r w:rsidRPr="00A75EB3">
              <w:rPr>
                <w:rFonts w:ascii="Segoe UI" w:hAnsi="Segoe UI" w:cs="Segoe UI"/>
                <w:i/>
                <w:iCs/>
                <w:sz w:val="18"/>
                <w:szCs w:val="18"/>
              </w:rPr>
              <w:t xml:space="preserve">p.16: "VC flow is generally isovolumetric" -&gt; this is an oversimplification. </w:t>
            </w:r>
            <w:proofErr w:type="spellStart"/>
            <w:r w:rsidRPr="00A75EB3">
              <w:rPr>
                <w:rFonts w:ascii="Segoe UI" w:hAnsi="Segoe UI" w:cs="Segoe UI"/>
                <w:i/>
                <w:iCs/>
                <w:sz w:val="18"/>
                <w:szCs w:val="18"/>
              </w:rPr>
              <w:t>Poroelastic</w:t>
            </w:r>
            <w:proofErr w:type="spellEnd"/>
            <w:r w:rsidRPr="00A75EB3">
              <w:rPr>
                <w:rFonts w:ascii="Segoe UI" w:hAnsi="Segoe UI" w:cs="Segoe UI"/>
                <w:i/>
                <w:iCs/>
                <w:sz w:val="18"/>
                <w:szCs w:val="18"/>
              </w:rPr>
              <w:t xml:space="preserve"> response implies some volumetric strain; it would be more accurate to say no significant permanent volume </w:t>
            </w:r>
            <w:proofErr w:type="spellStart"/>
            <w:r w:rsidRPr="00A75EB3">
              <w:rPr>
                <w:rFonts w:ascii="Segoe UI" w:hAnsi="Segoe UI" w:cs="Segoe UI"/>
                <w:i/>
                <w:iCs/>
                <w:sz w:val="18"/>
                <w:szCs w:val="18"/>
              </w:rPr>
              <w:t>change.a</w:t>
            </w:r>
            <w:proofErr w:type="spellEnd"/>
          </w:p>
        </w:tc>
        <w:tc>
          <w:tcPr>
            <w:tcW w:w="6286" w:type="dxa"/>
            <w:vAlign w:val="center"/>
          </w:tcPr>
          <w:p w14:paraId="498903CE" w14:textId="7D295750" w:rsidR="004D45AF" w:rsidRPr="00A75EB3" w:rsidRDefault="004D45AF" w:rsidP="000B6C75">
            <w:r w:rsidRPr="00A75EB3">
              <w:rPr>
                <w:rFonts w:ascii="Calibri" w:hAnsi="Calibri" w:cs="Calibri"/>
                <w:sz w:val="18"/>
                <w:szCs w:val="18"/>
              </w:rPr>
              <w:t xml:space="preserve">Sentence has been updated. We did include that some strain occurs because of poroelasticity and hope that the modified text is </w:t>
            </w:r>
            <w:r w:rsidR="00E82941" w:rsidRPr="00A75EB3">
              <w:rPr>
                <w:rFonts w:ascii="Calibri" w:hAnsi="Calibri" w:cs="Calibri"/>
                <w:sz w:val="18"/>
                <w:szCs w:val="18"/>
              </w:rPr>
              <w:t>clearer</w:t>
            </w:r>
            <w:r w:rsidRPr="00A75EB3">
              <w:rPr>
                <w:rFonts w:ascii="Calibri" w:hAnsi="Calibri" w:cs="Calibri"/>
                <w:sz w:val="18"/>
                <w:szCs w:val="18"/>
              </w:rPr>
              <w:t>.</w:t>
            </w:r>
          </w:p>
        </w:tc>
      </w:tr>
      <w:tr w:rsidR="004D45AF" w:rsidRPr="00A75EB3" w14:paraId="2EE8BE96" w14:textId="77777777" w:rsidTr="000B6C75">
        <w:tc>
          <w:tcPr>
            <w:tcW w:w="538" w:type="dxa"/>
            <w:vAlign w:val="center"/>
          </w:tcPr>
          <w:p w14:paraId="17203D29" w14:textId="77777777" w:rsidR="004D45AF" w:rsidRPr="00A75EB3" w:rsidRDefault="004D45AF" w:rsidP="00F70769">
            <w:r w:rsidRPr="00A75EB3">
              <w:rPr>
                <w:rFonts w:ascii="Calibri" w:hAnsi="Calibri" w:cs="Calibri"/>
                <w:sz w:val="18"/>
                <w:szCs w:val="18"/>
              </w:rPr>
              <w:t>49</w:t>
            </w:r>
          </w:p>
        </w:tc>
        <w:tc>
          <w:tcPr>
            <w:tcW w:w="920" w:type="dxa"/>
            <w:vAlign w:val="center"/>
          </w:tcPr>
          <w:p w14:paraId="4AD71A8C" w14:textId="77777777" w:rsidR="004D45AF" w:rsidRPr="00A75EB3" w:rsidRDefault="004D45AF" w:rsidP="00F70769">
            <w:r w:rsidRPr="00A75EB3">
              <w:rPr>
                <w:rFonts w:ascii="Calibri" w:hAnsi="Calibri" w:cs="Calibri"/>
                <w:sz w:val="18"/>
                <w:szCs w:val="18"/>
              </w:rPr>
              <w:t>BL</w:t>
            </w:r>
          </w:p>
        </w:tc>
        <w:tc>
          <w:tcPr>
            <w:tcW w:w="6285" w:type="dxa"/>
            <w:vAlign w:val="center"/>
          </w:tcPr>
          <w:p w14:paraId="39223FBB" w14:textId="77777777" w:rsidR="004D45AF" w:rsidRPr="00A75EB3" w:rsidRDefault="004D45AF" w:rsidP="000B6C75">
            <w:r w:rsidRPr="00A75EB3">
              <w:rPr>
                <w:rFonts w:ascii="Segoe UI" w:hAnsi="Segoe UI" w:cs="Segoe UI"/>
                <w:i/>
                <w:iCs/>
                <w:sz w:val="18"/>
                <w:szCs w:val="18"/>
              </w:rPr>
              <w:t>Or the cohesion if the pathway is along a pre-existing feature?</w:t>
            </w:r>
          </w:p>
        </w:tc>
        <w:tc>
          <w:tcPr>
            <w:tcW w:w="6286" w:type="dxa"/>
            <w:vAlign w:val="center"/>
          </w:tcPr>
          <w:p w14:paraId="71F3BEB9" w14:textId="77777777" w:rsidR="004D45AF" w:rsidRPr="00A75EB3" w:rsidRDefault="004D45AF" w:rsidP="000B6C75">
            <w:r w:rsidRPr="00A75EB3">
              <w:rPr>
                <w:rFonts w:ascii="Segoe UI" w:hAnsi="Segoe UI" w:cs="Segoe UI"/>
                <w:i/>
                <w:iCs/>
                <w:sz w:val="18"/>
                <w:szCs w:val="18"/>
              </w:rPr>
              <w:t>This may be over complicating things, but we have incorporated this comment as it may help to explain Event 2.</w:t>
            </w:r>
          </w:p>
        </w:tc>
      </w:tr>
      <w:tr w:rsidR="004D45AF" w:rsidRPr="00A75EB3" w14:paraId="5D5F653D" w14:textId="77777777" w:rsidTr="000B6C75">
        <w:tc>
          <w:tcPr>
            <w:tcW w:w="538" w:type="dxa"/>
            <w:vAlign w:val="center"/>
          </w:tcPr>
          <w:p w14:paraId="31E4523D" w14:textId="77777777" w:rsidR="004D45AF" w:rsidRPr="00A75EB3" w:rsidRDefault="004D45AF" w:rsidP="00F70769">
            <w:r w:rsidRPr="00A75EB3">
              <w:rPr>
                <w:rFonts w:ascii="Calibri" w:hAnsi="Calibri" w:cs="Calibri"/>
                <w:sz w:val="18"/>
                <w:szCs w:val="18"/>
              </w:rPr>
              <w:t>50</w:t>
            </w:r>
          </w:p>
        </w:tc>
        <w:tc>
          <w:tcPr>
            <w:tcW w:w="920" w:type="dxa"/>
            <w:vAlign w:val="center"/>
          </w:tcPr>
          <w:p w14:paraId="1F33CE85" w14:textId="77777777" w:rsidR="004D45AF" w:rsidRPr="00A75EB3" w:rsidRDefault="004D45AF" w:rsidP="00F70769">
            <w:r w:rsidRPr="00A75EB3">
              <w:rPr>
                <w:rFonts w:ascii="Calibri" w:hAnsi="Calibri" w:cs="Calibri"/>
                <w:sz w:val="18"/>
                <w:szCs w:val="18"/>
              </w:rPr>
              <w:t>BL</w:t>
            </w:r>
          </w:p>
        </w:tc>
        <w:tc>
          <w:tcPr>
            <w:tcW w:w="6285" w:type="dxa"/>
            <w:vAlign w:val="center"/>
          </w:tcPr>
          <w:p w14:paraId="21868E6C" w14:textId="77777777" w:rsidR="004D45AF" w:rsidRPr="00A75EB3" w:rsidRDefault="004D45AF" w:rsidP="000B6C75">
            <w:r w:rsidRPr="00A75EB3">
              <w:rPr>
                <w:rFonts w:ascii="Segoe UI" w:hAnsi="Segoe UI" w:cs="Segoe UI"/>
                <w:i/>
                <w:iCs/>
                <w:sz w:val="18"/>
                <w:szCs w:val="18"/>
              </w:rPr>
              <w:t>local minimum stress? or do you mean something different?</w:t>
            </w:r>
          </w:p>
        </w:tc>
        <w:tc>
          <w:tcPr>
            <w:tcW w:w="6286" w:type="dxa"/>
            <w:vAlign w:val="center"/>
          </w:tcPr>
          <w:p w14:paraId="4212915D" w14:textId="77777777" w:rsidR="004D45AF" w:rsidRPr="00A75EB3" w:rsidRDefault="004D45AF" w:rsidP="000B6C75">
            <w:r w:rsidRPr="00A75EB3">
              <w:rPr>
                <w:rFonts w:ascii="Segoe UI" w:hAnsi="Segoe UI" w:cs="Segoe UI"/>
                <w:i/>
                <w:iCs/>
                <w:sz w:val="18"/>
                <w:szCs w:val="18"/>
              </w:rPr>
              <w:t>Modified text</w:t>
            </w:r>
          </w:p>
        </w:tc>
      </w:tr>
      <w:tr w:rsidR="004D45AF" w:rsidRPr="00A75EB3" w14:paraId="0DEDA4D7" w14:textId="77777777" w:rsidTr="000B6C75">
        <w:tc>
          <w:tcPr>
            <w:tcW w:w="538" w:type="dxa"/>
            <w:vAlign w:val="center"/>
          </w:tcPr>
          <w:p w14:paraId="2FBBC7CD" w14:textId="77777777" w:rsidR="004D45AF" w:rsidRPr="00A75EB3" w:rsidRDefault="004D45AF" w:rsidP="00F70769">
            <w:r w:rsidRPr="00A75EB3">
              <w:rPr>
                <w:rFonts w:ascii="Calibri" w:hAnsi="Calibri" w:cs="Calibri"/>
                <w:sz w:val="18"/>
                <w:szCs w:val="18"/>
              </w:rPr>
              <w:t>51</w:t>
            </w:r>
          </w:p>
        </w:tc>
        <w:tc>
          <w:tcPr>
            <w:tcW w:w="920" w:type="dxa"/>
            <w:vAlign w:val="center"/>
          </w:tcPr>
          <w:p w14:paraId="51ECD9DD" w14:textId="77777777" w:rsidR="004D45AF" w:rsidRPr="00A75EB3" w:rsidRDefault="004D45AF" w:rsidP="00F70769">
            <w:r w:rsidRPr="00A75EB3">
              <w:rPr>
                <w:rFonts w:ascii="Calibri" w:hAnsi="Calibri" w:cs="Calibri"/>
                <w:sz w:val="18"/>
                <w:szCs w:val="18"/>
              </w:rPr>
              <w:t>R1</w:t>
            </w:r>
          </w:p>
        </w:tc>
        <w:tc>
          <w:tcPr>
            <w:tcW w:w="6285" w:type="dxa"/>
            <w:vAlign w:val="center"/>
          </w:tcPr>
          <w:p w14:paraId="066EDDB0" w14:textId="77777777" w:rsidR="004D45AF" w:rsidRPr="00A75EB3" w:rsidRDefault="004D45AF" w:rsidP="000B6C75">
            <w:r w:rsidRPr="00A75EB3">
              <w:rPr>
                <w:rFonts w:ascii="Segoe UI" w:hAnsi="Segoe UI" w:cs="Segoe UI"/>
                <w:i/>
                <w:iCs/>
                <w:sz w:val="18"/>
                <w:szCs w:val="18"/>
              </w:rPr>
              <w:t>p.16: "not able to compress around the pathway" -&gt; OPA is indurated (</w:t>
            </w:r>
            <w:proofErr w:type="spellStart"/>
            <w:r w:rsidRPr="00A75EB3">
              <w:rPr>
                <w:rFonts w:ascii="Segoe UI" w:hAnsi="Segoe UI" w:cs="Segoe UI"/>
                <w:i/>
                <w:iCs/>
                <w:sz w:val="18"/>
                <w:szCs w:val="18"/>
              </w:rPr>
              <w:t>overconsolidated</w:t>
            </w:r>
            <w:proofErr w:type="spellEnd"/>
            <w:r w:rsidRPr="00A75EB3">
              <w:rPr>
                <w:rFonts w:ascii="Segoe UI" w:hAnsi="Segoe UI" w:cs="Segoe UI"/>
                <w:i/>
                <w:iCs/>
                <w:sz w:val="18"/>
                <w:szCs w:val="18"/>
              </w:rPr>
              <w:t>) but not rigid. The statement should be comparative (less compliant than soft clay) rather than absolute.</w:t>
            </w:r>
          </w:p>
        </w:tc>
        <w:tc>
          <w:tcPr>
            <w:tcW w:w="6286" w:type="dxa"/>
            <w:vAlign w:val="center"/>
          </w:tcPr>
          <w:p w14:paraId="663B59B7" w14:textId="77777777" w:rsidR="004D45AF" w:rsidRPr="00A75EB3" w:rsidRDefault="004D45AF" w:rsidP="000B6C75">
            <w:r w:rsidRPr="00A75EB3">
              <w:rPr>
                <w:rFonts w:ascii="Segoe UI" w:hAnsi="Segoe UI" w:cs="Segoe UI"/>
                <w:i/>
                <w:iCs/>
                <w:sz w:val="18"/>
                <w:szCs w:val="18"/>
              </w:rPr>
              <w:t>Sentence modified to make it more clear and incorporate comment.</w:t>
            </w:r>
          </w:p>
        </w:tc>
      </w:tr>
      <w:tr w:rsidR="004D45AF" w:rsidRPr="00A75EB3" w14:paraId="0EDC290A" w14:textId="77777777" w:rsidTr="000B6C75">
        <w:tc>
          <w:tcPr>
            <w:tcW w:w="538" w:type="dxa"/>
            <w:vAlign w:val="center"/>
          </w:tcPr>
          <w:p w14:paraId="70D97A09" w14:textId="77777777" w:rsidR="004D45AF" w:rsidRPr="00A75EB3" w:rsidRDefault="004D45AF" w:rsidP="00F70769">
            <w:r w:rsidRPr="00A75EB3">
              <w:rPr>
                <w:rFonts w:ascii="Calibri" w:hAnsi="Calibri" w:cs="Calibri"/>
                <w:sz w:val="18"/>
                <w:szCs w:val="18"/>
              </w:rPr>
              <w:t>52</w:t>
            </w:r>
          </w:p>
        </w:tc>
        <w:tc>
          <w:tcPr>
            <w:tcW w:w="920" w:type="dxa"/>
            <w:vAlign w:val="center"/>
          </w:tcPr>
          <w:p w14:paraId="622B925E" w14:textId="77777777" w:rsidR="004D45AF" w:rsidRPr="00A75EB3" w:rsidRDefault="004D45AF" w:rsidP="00F70769">
            <w:r w:rsidRPr="00A75EB3">
              <w:rPr>
                <w:rFonts w:ascii="Calibri" w:hAnsi="Calibri" w:cs="Calibri"/>
                <w:sz w:val="18"/>
                <w:szCs w:val="18"/>
              </w:rPr>
              <w:t>BL</w:t>
            </w:r>
          </w:p>
        </w:tc>
        <w:tc>
          <w:tcPr>
            <w:tcW w:w="6285" w:type="dxa"/>
            <w:vAlign w:val="center"/>
          </w:tcPr>
          <w:p w14:paraId="3C9B1DF4" w14:textId="77777777" w:rsidR="004D45AF" w:rsidRPr="00A75EB3" w:rsidRDefault="004D45AF" w:rsidP="000B6C75">
            <w:r w:rsidRPr="00A75EB3">
              <w:rPr>
                <w:rFonts w:ascii="Segoe UI" w:hAnsi="Segoe UI" w:cs="Segoe UI"/>
                <w:i/>
                <w:iCs/>
                <w:sz w:val="18"/>
                <w:szCs w:val="18"/>
              </w:rPr>
              <w:t>as?</w:t>
            </w:r>
          </w:p>
        </w:tc>
        <w:tc>
          <w:tcPr>
            <w:tcW w:w="6286" w:type="dxa"/>
            <w:vAlign w:val="center"/>
          </w:tcPr>
          <w:p w14:paraId="25D8F282" w14:textId="77777777" w:rsidR="004D45AF" w:rsidRPr="00A75EB3" w:rsidRDefault="004D45AF" w:rsidP="000B6C75">
            <w:r w:rsidRPr="00A75EB3">
              <w:rPr>
                <w:rFonts w:ascii="Calibri" w:hAnsi="Calibri" w:cs="Calibri"/>
                <w:sz w:val="18"/>
                <w:szCs w:val="18"/>
              </w:rPr>
              <w:t>Modified text</w:t>
            </w:r>
          </w:p>
        </w:tc>
      </w:tr>
      <w:tr w:rsidR="004D45AF" w:rsidRPr="00A75EB3" w14:paraId="66AFFD3F" w14:textId="77777777" w:rsidTr="000B6C75">
        <w:tc>
          <w:tcPr>
            <w:tcW w:w="538" w:type="dxa"/>
            <w:vAlign w:val="center"/>
          </w:tcPr>
          <w:p w14:paraId="2F1F26DF" w14:textId="77777777" w:rsidR="004D45AF" w:rsidRPr="00A75EB3" w:rsidRDefault="004D45AF" w:rsidP="00F70769">
            <w:r w:rsidRPr="00A75EB3">
              <w:rPr>
                <w:rFonts w:ascii="Calibri" w:hAnsi="Calibri" w:cs="Calibri"/>
                <w:sz w:val="18"/>
                <w:szCs w:val="18"/>
              </w:rPr>
              <w:t>53</w:t>
            </w:r>
          </w:p>
        </w:tc>
        <w:tc>
          <w:tcPr>
            <w:tcW w:w="920" w:type="dxa"/>
            <w:vAlign w:val="center"/>
          </w:tcPr>
          <w:p w14:paraId="5923025E" w14:textId="77777777" w:rsidR="004D45AF" w:rsidRPr="00A75EB3" w:rsidRDefault="004D45AF" w:rsidP="00F70769">
            <w:r w:rsidRPr="00A75EB3">
              <w:rPr>
                <w:rFonts w:ascii="Calibri" w:hAnsi="Calibri" w:cs="Calibri"/>
                <w:sz w:val="18"/>
                <w:szCs w:val="18"/>
              </w:rPr>
              <w:t>R1</w:t>
            </w:r>
          </w:p>
        </w:tc>
        <w:tc>
          <w:tcPr>
            <w:tcW w:w="6285" w:type="dxa"/>
            <w:vAlign w:val="center"/>
          </w:tcPr>
          <w:p w14:paraId="2F1EA352" w14:textId="77777777" w:rsidR="004D45AF" w:rsidRPr="00A75EB3" w:rsidRDefault="004D45AF" w:rsidP="000B6C75">
            <w:r w:rsidRPr="00A75EB3">
              <w:rPr>
                <w:rFonts w:ascii="Calibri" w:hAnsi="Calibri" w:cs="Calibri"/>
                <w:b/>
                <w:bCs/>
                <w:sz w:val="18"/>
                <w:szCs w:val="18"/>
              </w:rPr>
              <w:t>2) The fracture mechanics reasoning needs revision.</w:t>
            </w:r>
            <w:r w:rsidRPr="00A75EB3">
              <w:rPr>
                <w:rFonts w:ascii="Calibri" w:hAnsi="Calibri" w:cs="Calibri"/>
                <w:sz w:val="18"/>
                <w:szCs w:val="18"/>
              </w:rPr>
              <w:t xml:space="preserve"> The statement on p.17 that "the fracture will grow at a velocity close to the speed of sound in the rock" is problematic. This might apply to dry, brittle fracture under dynamic loading, but it does not describe fluid-driven fracture in a saturated, low-permeability claystone. In this system, crack propagation is rate-limited by fluid supply to the crack tip, leak-off into the matrix, and pore pressure dissipation ahead of the front. Propagation velocities in such settings are orders of magnitude below the speed of sound. The entire hydraulic fracturing literature in tight formations demonstrates this. Likewise, calling gas fracture a "pure fracture mechanics-controlled phenomenon" mischaracterises the process. In a saturated clay with permeability in the nD range, any fracture propagation is inherently a coupled hydro-mechanical problem, you cannot separate the mechanics from the fluid flow. I'd ask the authors to either remove the speed-of-sound claim entirely or qualify it heavily, and to reframe the fracture discussion in terms of rate-limited, fluid-coupled propagation. 3) Event 2 pressures do not satisfy the fracture criterion as stated. This is perhaps my biggest concern with internal logic. The paper presents the classical tensile fracture criterion: failure when gas pressure equals ?? + tensile strength. The numbers given are: +Gas pressure at Event 2: ~3720 kPa +Estimated ??: ~3800 kPa +Tensile strength of OPA: 1–3 MPa (from literature) So, gas pressure didn't even reach ??, let alone ?? + T. The authors acknowledge this and invoke "sub-critical fracture" or "bedding-plane splitting," but this effectively abandons the fracture framework that was just presented two paragraphs earlier without providing a clear alternative mechanical explanation. As a reader, I'm left </w:t>
            </w:r>
            <w:r w:rsidRPr="00A75EB3">
              <w:rPr>
                <w:rFonts w:ascii="Calibri" w:hAnsi="Calibri" w:cs="Calibri"/>
                <w:sz w:val="18"/>
                <w:szCs w:val="18"/>
              </w:rPr>
              <w:lastRenderedPageBreak/>
              <w:t>wondering: if it's not classical tensile failure, then what is the failure mechanism? Shear-assisted opening along a weak bedding plane? Progressive damage accumulation? Reactivation of a pre-existing discontinuity? The paper needs to address this rather than noting the discrepancy and moving past it. Consider also noting that "sub-critical" fracture growth is typically a slow, time-dependent process, which seems at odds with the rapid, energetic character of Event 2. If the authors want to invoke subcritical mechanisms, they should explain how subcritical growth leads to such a sudden event.</w:t>
            </w:r>
          </w:p>
        </w:tc>
        <w:tc>
          <w:tcPr>
            <w:tcW w:w="6286" w:type="dxa"/>
            <w:vAlign w:val="center"/>
          </w:tcPr>
          <w:p w14:paraId="456C4C18" w14:textId="53F17E65" w:rsidR="004D45AF" w:rsidRPr="00A75EB3" w:rsidRDefault="004D45AF" w:rsidP="000B6C75">
            <w:r w:rsidRPr="00A75EB3">
              <w:rPr>
                <w:rFonts w:ascii="Calibri" w:hAnsi="Calibri" w:cs="Calibri"/>
                <w:sz w:val="18"/>
                <w:szCs w:val="18"/>
              </w:rPr>
              <w:lastRenderedPageBreak/>
              <w:t xml:space="preserve">The text has been updated. We have stated the expected velocity of fracturing in OPA (there is little data for gas fracture rates in shale) and using data we published in 2012 have shown that gas fracturing is likely to be 3x10^4 to 3x10^6 times faster than dilatancy flow. This is the point we were trying to make. Graham et al. 2016 showed that gas movement by dilatancy occurred at the minimum principal stress. Therefore, we have tightened the text to make a distinction between fracturing and dilatancy. We have modified the interpretation of Event 2 to satisfy the comments raised. It is not 100% clear why the fracturing event occurred, especially as pressure was considerably below </w:t>
            </w:r>
            <w:r w:rsidR="00BB70AA" w:rsidRPr="00A75EB3">
              <w:rPr>
                <w:rFonts w:ascii="Calibri" w:hAnsi="Calibri" w:cs="Calibri"/>
                <w:sz w:val="18"/>
                <w:szCs w:val="18"/>
              </w:rPr>
              <w:t>its</w:t>
            </w:r>
            <w:r w:rsidRPr="00A75EB3">
              <w:rPr>
                <w:rFonts w:ascii="Calibri" w:hAnsi="Calibri" w:cs="Calibri"/>
                <w:sz w:val="18"/>
                <w:szCs w:val="18"/>
              </w:rPr>
              <w:t xml:space="preserve"> previous maximum. The driving mechanism is therefore not 100% clear and requires a laboratory follow-up to understand more.</w:t>
            </w:r>
          </w:p>
        </w:tc>
      </w:tr>
      <w:tr w:rsidR="004D45AF" w:rsidRPr="00A75EB3" w14:paraId="18F61402" w14:textId="77777777" w:rsidTr="000B6C75">
        <w:tc>
          <w:tcPr>
            <w:tcW w:w="538" w:type="dxa"/>
            <w:vAlign w:val="center"/>
          </w:tcPr>
          <w:p w14:paraId="08935380" w14:textId="77777777" w:rsidR="004D45AF" w:rsidRPr="00A75EB3" w:rsidRDefault="004D45AF" w:rsidP="00F70769">
            <w:r w:rsidRPr="00A75EB3">
              <w:rPr>
                <w:rFonts w:ascii="Calibri" w:hAnsi="Calibri" w:cs="Calibri"/>
                <w:sz w:val="18"/>
                <w:szCs w:val="18"/>
              </w:rPr>
              <w:t>54</w:t>
            </w:r>
          </w:p>
        </w:tc>
        <w:tc>
          <w:tcPr>
            <w:tcW w:w="920" w:type="dxa"/>
            <w:vAlign w:val="center"/>
          </w:tcPr>
          <w:p w14:paraId="16F70169" w14:textId="77777777" w:rsidR="004D45AF" w:rsidRPr="00A75EB3" w:rsidRDefault="004D45AF" w:rsidP="00F70769">
            <w:r w:rsidRPr="00A75EB3">
              <w:rPr>
                <w:rFonts w:ascii="Calibri" w:hAnsi="Calibri" w:cs="Calibri"/>
                <w:sz w:val="18"/>
                <w:szCs w:val="18"/>
              </w:rPr>
              <w:t>BL</w:t>
            </w:r>
          </w:p>
        </w:tc>
        <w:tc>
          <w:tcPr>
            <w:tcW w:w="6285" w:type="dxa"/>
            <w:vAlign w:val="center"/>
          </w:tcPr>
          <w:p w14:paraId="1CFDDD8E" w14:textId="77777777" w:rsidR="004D45AF" w:rsidRPr="00A75EB3" w:rsidRDefault="004D45AF" w:rsidP="000B6C75">
            <w:r w:rsidRPr="00A75EB3">
              <w:rPr>
                <w:rFonts w:ascii="Segoe UI" w:hAnsi="Segoe UI" w:cs="Segoe UI"/>
                <w:i/>
                <w:iCs/>
                <w:sz w:val="18"/>
                <w:szCs w:val="18"/>
              </w:rPr>
              <w:t>occur - no need for any invocation?</w:t>
            </w:r>
          </w:p>
        </w:tc>
        <w:tc>
          <w:tcPr>
            <w:tcW w:w="6286" w:type="dxa"/>
            <w:vAlign w:val="center"/>
          </w:tcPr>
          <w:p w14:paraId="52296435" w14:textId="77777777" w:rsidR="004D45AF" w:rsidRPr="00A75EB3" w:rsidRDefault="004D45AF" w:rsidP="000B6C75">
            <w:r w:rsidRPr="00A75EB3">
              <w:rPr>
                <w:rFonts w:ascii="Calibri" w:hAnsi="Calibri" w:cs="Calibri"/>
                <w:sz w:val="18"/>
                <w:szCs w:val="18"/>
              </w:rPr>
              <w:t>Changed</w:t>
            </w:r>
          </w:p>
        </w:tc>
      </w:tr>
      <w:tr w:rsidR="004D45AF" w:rsidRPr="00A75EB3" w14:paraId="173DB026" w14:textId="77777777" w:rsidTr="000B6C75">
        <w:tc>
          <w:tcPr>
            <w:tcW w:w="538" w:type="dxa"/>
            <w:vAlign w:val="center"/>
          </w:tcPr>
          <w:p w14:paraId="336A4088" w14:textId="77777777" w:rsidR="004D45AF" w:rsidRPr="00A75EB3" w:rsidRDefault="004D45AF" w:rsidP="00F70769">
            <w:r w:rsidRPr="00A75EB3">
              <w:rPr>
                <w:rFonts w:ascii="Calibri" w:hAnsi="Calibri" w:cs="Calibri"/>
                <w:sz w:val="18"/>
                <w:szCs w:val="18"/>
              </w:rPr>
              <w:t>55</w:t>
            </w:r>
          </w:p>
        </w:tc>
        <w:tc>
          <w:tcPr>
            <w:tcW w:w="920" w:type="dxa"/>
            <w:vAlign w:val="center"/>
          </w:tcPr>
          <w:p w14:paraId="0E3A76E7" w14:textId="77777777" w:rsidR="004D45AF" w:rsidRPr="00A75EB3" w:rsidRDefault="004D45AF" w:rsidP="00F70769">
            <w:r w:rsidRPr="00A75EB3">
              <w:rPr>
                <w:rFonts w:ascii="Calibri" w:hAnsi="Calibri" w:cs="Calibri"/>
                <w:sz w:val="18"/>
                <w:szCs w:val="18"/>
              </w:rPr>
              <w:t>BL</w:t>
            </w:r>
          </w:p>
        </w:tc>
        <w:tc>
          <w:tcPr>
            <w:tcW w:w="6285" w:type="dxa"/>
            <w:vAlign w:val="center"/>
          </w:tcPr>
          <w:p w14:paraId="73F0390E" w14:textId="77777777" w:rsidR="004D45AF" w:rsidRPr="00A75EB3" w:rsidRDefault="004D45AF" w:rsidP="000B6C75">
            <w:r w:rsidRPr="00A75EB3">
              <w:rPr>
                <w:rFonts w:ascii="Calibri" w:hAnsi="Calibri" w:cs="Calibri"/>
                <w:sz w:val="18"/>
                <w:szCs w:val="18"/>
              </w:rPr>
              <w:t>fluid?</w:t>
            </w:r>
          </w:p>
        </w:tc>
        <w:tc>
          <w:tcPr>
            <w:tcW w:w="6286" w:type="dxa"/>
            <w:vAlign w:val="center"/>
          </w:tcPr>
          <w:p w14:paraId="61C9D6AE" w14:textId="77777777" w:rsidR="004D45AF" w:rsidRPr="00A75EB3" w:rsidRDefault="004D45AF" w:rsidP="000B6C75">
            <w:r w:rsidRPr="00A75EB3">
              <w:rPr>
                <w:rFonts w:ascii="Segoe UI" w:hAnsi="Segoe UI" w:cs="Segoe UI"/>
                <w:i/>
                <w:iCs/>
                <w:sz w:val="18"/>
                <w:szCs w:val="18"/>
              </w:rPr>
              <w:t>Sentence has been changed and this comment is no longer relevant.</w:t>
            </w:r>
          </w:p>
        </w:tc>
      </w:tr>
      <w:tr w:rsidR="004D45AF" w:rsidRPr="00A75EB3" w14:paraId="7610A1C0" w14:textId="77777777" w:rsidTr="000B6C75">
        <w:tc>
          <w:tcPr>
            <w:tcW w:w="538" w:type="dxa"/>
            <w:vAlign w:val="center"/>
          </w:tcPr>
          <w:p w14:paraId="349B5A9A" w14:textId="77777777" w:rsidR="004D45AF" w:rsidRPr="00A75EB3" w:rsidRDefault="004D45AF" w:rsidP="00F70769">
            <w:r w:rsidRPr="00A75EB3">
              <w:rPr>
                <w:rFonts w:ascii="Calibri" w:hAnsi="Calibri" w:cs="Calibri"/>
                <w:sz w:val="18"/>
                <w:szCs w:val="18"/>
              </w:rPr>
              <w:t>56</w:t>
            </w:r>
          </w:p>
        </w:tc>
        <w:tc>
          <w:tcPr>
            <w:tcW w:w="920" w:type="dxa"/>
            <w:vAlign w:val="center"/>
          </w:tcPr>
          <w:p w14:paraId="46EF93A5" w14:textId="77777777" w:rsidR="004D45AF" w:rsidRPr="00A75EB3" w:rsidRDefault="004D45AF" w:rsidP="00F70769">
            <w:r w:rsidRPr="00A75EB3">
              <w:rPr>
                <w:rFonts w:ascii="Calibri" w:hAnsi="Calibri" w:cs="Calibri"/>
                <w:sz w:val="18"/>
                <w:szCs w:val="18"/>
              </w:rPr>
              <w:t>BL</w:t>
            </w:r>
          </w:p>
        </w:tc>
        <w:tc>
          <w:tcPr>
            <w:tcW w:w="6285" w:type="dxa"/>
            <w:vAlign w:val="center"/>
          </w:tcPr>
          <w:p w14:paraId="700008A4" w14:textId="77777777" w:rsidR="004D45AF" w:rsidRPr="00A75EB3" w:rsidRDefault="004D45AF" w:rsidP="000B6C75">
            <w:r w:rsidRPr="00A75EB3">
              <w:rPr>
                <w:rFonts w:ascii="Segoe UI" w:hAnsi="Segoe UI" w:cs="Segoe UI"/>
                <w:i/>
                <w:iCs/>
                <w:sz w:val="18"/>
                <w:szCs w:val="18"/>
              </w:rPr>
              <w:t xml:space="preserve">Are we discussing a gas frac or </w:t>
            </w:r>
            <w:proofErr w:type="spellStart"/>
            <w:r w:rsidRPr="00A75EB3">
              <w:rPr>
                <w:rFonts w:ascii="Segoe UI" w:hAnsi="Segoe UI" w:cs="Segoe UI"/>
                <w:i/>
                <w:iCs/>
                <w:sz w:val="18"/>
                <w:szCs w:val="18"/>
              </w:rPr>
              <w:t>hydrofrac</w:t>
            </w:r>
            <w:proofErr w:type="spellEnd"/>
            <w:r w:rsidRPr="00A75EB3">
              <w:rPr>
                <w:rFonts w:ascii="Segoe UI" w:hAnsi="Segoe UI" w:cs="Segoe UI"/>
                <w:i/>
                <w:iCs/>
                <w:sz w:val="18"/>
                <w:szCs w:val="18"/>
              </w:rPr>
              <w:t>? I'm not sure saturation guarantees much water availability in very impermeable rocks like the OPA?</w:t>
            </w:r>
          </w:p>
        </w:tc>
        <w:tc>
          <w:tcPr>
            <w:tcW w:w="6286" w:type="dxa"/>
            <w:vAlign w:val="center"/>
          </w:tcPr>
          <w:p w14:paraId="4C586467" w14:textId="77777777" w:rsidR="004D45AF" w:rsidRPr="00A75EB3" w:rsidRDefault="004D45AF" w:rsidP="000B6C75">
            <w:r w:rsidRPr="00A75EB3">
              <w:rPr>
                <w:rFonts w:ascii="Segoe UI" w:hAnsi="Segoe UI" w:cs="Segoe UI"/>
                <w:i/>
                <w:iCs/>
                <w:sz w:val="18"/>
                <w:szCs w:val="18"/>
              </w:rPr>
              <w:t>Section has been modified and this point is no longer relevant.</w:t>
            </w:r>
          </w:p>
        </w:tc>
      </w:tr>
      <w:tr w:rsidR="004D45AF" w:rsidRPr="00A75EB3" w14:paraId="6FECBBC9" w14:textId="77777777" w:rsidTr="000B6C75">
        <w:tc>
          <w:tcPr>
            <w:tcW w:w="538" w:type="dxa"/>
            <w:vAlign w:val="center"/>
          </w:tcPr>
          <w:p w14:paraId="771A36E3" w14:textId="77777777" w:rsidR="004D45AF" w:rsidRPr="00A75EB3" w:rsidRDefault="004D45AF" w:rsidP="00F70769">
            <w:r w:rsidRPr="00A75EB3">
              <w:rPr>
                <w:rFonts w:ascii="Calibri" w:hAnsi="Calibri" w:cs="Calibri"/>
                <w:sz w:val="18"/>
                <w:szCs w:val="18"/>
              </w:rPr>
              <w:t>57</w:t>
            </w:r>
          </w:p>
        </w:tc>
        <w:tc>
          <w:tcPr>
            <w:tcW w:w="920" w:type="dxa"/>
            <w:vAlign w:val="center"/>
          </w:tcPr>
          <w:p w14:paraId="43B89149" w14:textId="77777777" w:rsidR="004D45AF" w:rsidRPr="00A75EB3" w:rsidRDefault="004D45AF" w:rsidP="00F70769">
            <w:r w:rsidRPr="00A75EB3">
              <w:rPr>
                <w:rFonts w:ascii="Calibri" w:hAnsi="Calibri" w:cs="Calibri"/>
                <w:sz w:val="18"/>
                <w:szCs w:val="18"/>
              </w:rPr>
              <w:t>BL</w:t>
            </w:r>
          </w:p>
        </w:tc>
        <w:tc>
          <w:tcPr>
            <w:tcW w:w="6285" w:type="dxa"/>
            <w:vAlign w:val="center"/>
          </w:tcPr>
          <w:p w14:paraId="1AAA69E0" w14:textId="77777777" w:rsidR="004D45AF" w:rsidRPr="00A75EB3" w:rsidRDefault="004D45AF" w:rsidP="000B6C75">
            <w:r w:rsidRPr="00A75EB3">
              <w:rPr>
                <w:rFonts w:ascii="Segoe UI" w:hAnsi="Segoe UI" w:cs="Segoe UI"/>
                <w:i/>
                <w:iCs/>
                <w:sz w:val="18"/>
                <w:szCs w:val="18"/>
              </w:rPr>
              <w:t>some permanent strain?</w:t>
            </w:r>
          </w:p>
        </w:tc>
        <w:tc>
          <w:tcPr>
            <w:tcW w:w="6286" w:type="dxa"/>
            <w:vAlign w:val="center"/>
          </w:tcPr>
          <w:p w14:paraId="16AC6D60" w14:textId="77777777" w:rsidR="004D45AF" w:rsidRPr="00A75EB3" w:rsidRDefault="004D45AF" w:rsidP="000B6C75">
            <w:r w:rsidRPr="00A75EB3">
              <w:rPr>
                <w:rFonts w:ascii="Segoe UI" w:hAnsi="Segoe UI" w:cs="Segoe UI"/>
                <w:i/>
                <w:iCs/>
                <w:sz w:val="18"/>
                <w:szCs w:val="18"/>
              </w:rPr>
              <w:t>Adopted. Text modified.</w:t>
            </w:r>
          </w:p>
        </w:tc>
      </w:tr>
      <w:tr w:rsidR="004D45AF" w:rsidRPr="00A75EB3" w14:paraId="47BBC5CB" w14:textId="77777777" w:rsidTr="000B6C75">
        <w:tc>
          <w:tcPr>
            <w:tcW w:w="538" w:type="dxa"/>
            <w:vAlign w:val="center"/>
          </w:tcPr>
          <w:p w14:paraId="67ED0BE6" w14:textId="77777777" w:rsidR="004D45AF" w:rsidRPr="00A75EB3" w:rsidRDefault="004D45AF" w:rsidP="00F70769">
            <w:r w:rsidRPr="00A75EB3">
              <w:rPr>
                <w:rFonts w:ascii="Calibri" w:hAnsi="Calibri" w:cs="Calibri"/>
                <w:sz w:val="18"/>
                <w:szCs w:val="18"/>
              </w:rPr>
              <w:t>58</w:t>
            </w:r>
          </w:p>
        </w:tc>
        <w:tc>
          <w:tcPr>
            <w:tcW w:w="920" w:type="dxa"/>
            <w:vAlign w:val="center"/>
          </w:tcPr>
          <w:p w14:paraId="0BEE5664" w14:textId="77777777" w:rsidR="004D45AF" w:rsidRPr="00A75EB3" w:rsidRDefault="004D45AF" w:rsidP="00F70769">
            <w:r w:rsidRPr="00A75EB3">
              <w:rPr>
                <w:rFonts w:ascii="Calibri" w:hAnsi="Calibri" w:cs="Calibri"/>
                <w:sz w:val="18"/>
                <w:szCs w:val="18"/>
              </w:rPr>
              <w:t>BL</w:t>
            </w:r>
          </w:p>
        </w:tc>
        <w:tc>
          <w:tcPr>
            <w:tcW w:w="6285" w:type="dxa"/>
            <w:vAlign w:val="center"/>
          </w:tcPr>
          <w:p w14:paraId="5174FA04" w14:textId="77777777" w:rsidR="004D45AF" w:rsidRPr="00A75EB3" w:rsidRDefault="004D45AF" w:rsidP="000B6C75">
            <w:r w:rsidRPr="00A75EB3">
              <w:rPr>
                <w:rFonts w:ascii="Segoe UI" w:hAnsi="Segoe UI" w:cs="Segoe UI"/>
                <w:i/>
                <w:iCs/>
                <w:sz w:val="18"/>
                <w:szCs w:val="18"/>
              </w:rPr>
              <w:t>Winhausen?</w:t>
            </w:r>
          </w:p>
        </w:tc>
        <w:tc>
          <w:tcPr>
            <w:tcW w:w="6286" w:type="dxa"/>
            <w:vAlign w:val="center"/>
          </w:tcPr>
          <w:p w14:paraId="0FA8546E" w14:textId="77777777" w:rsidR="004D45AF" w:rsidRPr="00A75EB3" w:rsidRDefault="004D45AF" w:rsidP="000B6C75">
            <w:r w:rsidRPr="00A75EB3">
              <w:rPr>
                <w:rFonts w:ascii="Segoe UI" w:hAnsi="Segoe UI" w:cs="Segoe UI"/>
                <w:i/>
                <w:iCs/>
                <w:sz w:val="18"/>
                <w:szCs w:val="18"/>
              </w:rPr>
              <w:t>Typo corrected</w:t>
            </w:r>
          </w:p>
        </w:tc>
      </w:tr>
      <w:tr w:rsidR="004D45AF" w:rsidRPr="00A75EB3" w14:paraId="4DE55BC5" w14:textId="77777777" w:rsidTr="000B6C75">
        <w:tc>
          <w:tcPr>
            <w:tcW w:w="538" w:type="dxa"/>
            <w:vAlign w:val="center"/>
          </w:tcPr>
          <w:p w14:paraId="099FE1AE" w14:textId="77777777" w:rsidR="004D45AF" w:rsidRPr="00A75EB3" w:rsidRDefault="004D45AF" w:rsidP="00F70769">
            <w:r w:rsidRPr="00A75EB3">
              <w:rPr>
                <w:rFonts w:ascii="Calibri" w:hAnsi="Calibri" w:cs="Calibri"/>
                <w:sz w:val="18"/>
                <w:szCs w:val="18"/>
              </w:rPr>
              <w:t>59</w:t>
            </w:r>
          </w:p>
        </w:tc>
        <w:tc>
          <w:tcPr>
            <w:tcW w:w="920" w:type="dxa"/>
            <w:vAlign w:val="center"/>
          </w:tcPr>
          <w:p w14:paraId="55A17706" w14:textId="77777777" w:rsidR="004D45AF" w:rsidRPr="00A75EB3" w:rsidRDefault="004D45AF" w:rsidP="00F70769">
            <w:r w:rsidRPr="00A75EB3">
              <w:rPr>
                <w:rFonts w:ascii="Calibri" w:hAnsi="Calibri" w:cs="Calibri"/>
                <w:sz w:val="18"/>
                <w:szCs w:val="18"/>
              </w:rPr>
              <w:t>BL</w:t>
            </w:r>
          </w:p>
        </w:tc>
        <w:tc>
          <w:tcPr>
            <w:tcW w:w="6285" w:type="dxa"/>
            <w:vAlign w:val="center"/>
          </w:tcPr>
          <w:p w14:paraId="2E5FFE78" w14:textId="77777777" w:rsidR="004D45AF" w:rsidRPr="00A75EB3" w:rsidRDefault="004D45AF" w:rsidP="000B6C75">
            <w:r w:rsidRPr="00A75EB3">
              <w:rPr>
                <w:rFonts w:ascii="Segoe UI" w:hAnsi="Segoe UI" w:cs="Segoe UI"/>
                <w:i/>
                <w:iCs/>
                <w:sz w:val="18"/>
                <w:szCs w:val="18"/>
              </w:rPr>
              <w:t>Useful to mention that at Mont Terri the stress field is probably not aligned with the bedding anisotropy so shear stresses are to be expected?</w:t>
            </w:r>
          </w:p>
        </w:tc>
        <w:tc>
          <w:tcPr>
            <w:tcW w:w="6286" w:type="dxa"/>
            <w:vAlign w:val="center"/>
          </w:tcPr>
          <w:p w14:paraId="33B1FA8A" w14:textId="77777777" w:rsidR="004D45AF" w:rsidRPr="00A75EB3" w:rsidRDefault="004D45AF" w:rsidP="000B6C75">
            <w:r w:rsidRPr="00A75EB3">
              <w:rPr>
                <w:rFonts w:ascii="Calibri" w:hAnsi="Calibri" w:cs="Calibri"/>
                <w:sz w:val="18"/>
                <w:szCs w:val="18"/>
              </w:rPr>
              <w:t>Very good point and that has now been incorporated. In this section we were trying to be more general, but this point should be included.</w:t>
            </w:r>
          </w:p>
        </w:tc>
      </w:tr>
      <w:tr w:rsidR="004D45AF" w:rsidRPr="00A75EB3" w14:paraId="00DDCC2C" w14:textId="77777777" w:rsidTr="000B6C75">
        <w:tc>
          <w:tcPr>
            <w:tcW w:w="538" w:type="dxa"/>
            <w:vAlign w:val="center"/>
          </w:tcPr>
          <w:p w14:paraId="72FE7406" w14:textId="77777777" w:rsidR="004D45AF" w:rsidRPr="00A75EB3" w:rsidRDefault="004D45AF" w:rsidP="00F70769">
            <w:r w:rsidRPr="00A75EB3">
              <w:rPr>
                <w:rFonts w:ascii="Calibri" w:hAnsi="Calibri" w:cs="Calibri"/>
                <w:sz w:val="18"/>
                <w:szCs w:val="18"/>
              </w:rPr>
              <w:t>60</w:t>
            </w:r>
          </w:p>
        </w:tc>
        <w:tc>
          <w:tcPr>
            <w:tcW w:w="920" w:type="dxa"/>
            <w:vAlign w:val="center"/>
          </w:tcPr>
          <w:p w14:paraId="26B5F3C1" w14:textId="77777777" w:rsidR="004D45AF" w:rsidRPr="00A75EB3" w:rsidRDefault="004D45AF" w:rsidP="00F70769">
            <w:r w:rsidRPr="00A75EB3">
              <w:rPr>
                <w:rFonts w:ascii="Calibri" w:hAnsi="Calibri" w:cs="Calibri"/>
                <w:sz w:val="18"/>
                <w:szCs w:val="18"/>
              </w:rPr>
              <w:t>BL</w:t>
            </w:r>
          </w:p>
        </w:tc>
        <w:tc>
          <w:tcPr>
            <w:tcW w:w="6285" w:type="dxa"/>
            <w:vAlign w:val="center"/>
          </w:tcPr>
          <w:p w14:paraId="2D550A68" w14:textId="77777777" w:rsidR="004D45AF" w:rsidRPr="00A75EB3" w:rsidRDefault="004D45AF" w:rsidP="000B6C75">
            <w:r w:rsidRPr="00A75EB3">
              <w:rPr>
                <w:rFonts w:ascii="Segoe UI" w:hAnsi="Segoe UI" w:cs="Segoe UI"/>
                <w:i/>
                <w:iCs/>
                <w:sz w:val="18"/>
                <w:szCs w:val="18"/>
              </w:rPr>
              <w:t>if gas generation rates are sufficiently high that dilatant pathway formation...</w:t>
            </w:r>
          </w:p>
        </w:tc>
        <w:tc>
          <w:tcPr>
            <w:tcW w:w="6286" w:type="dxa"/>
            <w:vAlign w:val="center"/>
          </w:tcPr>
          <w:p w14:paraId="327D02B6" w14:textId="77777777" w:rsidR="004D45AF" w:rsidRPr="00A75EB3" w:rsidRDefault="004D45AF" w:rsidP="000B6C75">
            <w:r w:rsidRPr="00A75EB3">
              <w:rPr>
                <w:rFonts w:ascii="Calibri" w:hAnsi="Calibri" w:cs="Calibri"/>
                <w:sz w:val="18"/>
                <w:szCs w:val="18"/>
              </w:rPr>
              <w:t>Sentence modified.</w:t>
            </w:r>
          </w:p>
        </w:tc>
      </w:tr>
      <w:tr w:rsidR="004D45AF" w:rsidRPr="00A75EB3" w14:paraId="4EECBB41" w14:textId="77777777" w:rsidTr="000B6C75">
        <w:tc>
          <w:tcPr>
            <w:tcW w:w="538" w:type="dxa"/>
            <w:vAlign w:val="center"/>
          </w:tcPr>
          <w:p w14:paraId="57EE7578" w14:textId="77777777" w:rsidR="004D45AF" w:rsidRPr="00A75EB3" w:rsidRDefault="004D45AF" w:rsidP="00F70769">
            <w:r w:rsidRPr="00A75EB3">
              <w:rPr>
                <w:rFonts w:ascii="Calibri" w:hAnsi="Calibri" w:cs="Calibri"/>
                <w:sz w:val="18"/>
                <w:szCs w:val="18"/>
              </w:rPr>
              <w:t>61</w:t>
            </w:r>
          </w:p>
        </w:tc>
        <w:tc>
          <w:tcPr>
            <w:tcW w:w="920" w:type="dxa"/>
            <w:vAlign w:val="center"/>
          </w:tcPr>
          <w:p w14:paraId="721D735B" w14:textId="77777777" w:rsidR="004D45AF" w:rsidRPr="00A75EB3" w:rsidRDefault="004D45AF" w:rsidP="00F70769">
            <w:r w:rsidRPr="00A75EB3">
              <w:rPr>
                <w:rFonts w:ascii="Calibri" w:hAnsi="Calibri" w:cs="Calibri"/>
                <w:sz w:val="18"/>
                <w:szCs w:val="18"/>
              </w:rPr>
              <w:t>R1</w:t>
            </w:r>
          </w:p>
        </w:tc>
        <w:tc>
          <w:tcPr>
            <w:tcW w:w="6285" w:type="dxa"/>
            <w:vAlign w:val="center"/>
          </w:tcPr>
          <w:p w14:paraId="6EDF4B8A" w14:textId="77777777" w:rsidR="004D45AF" w:rsidRPr="00A75EB3" w:rsidRDefault="004D45AF" w:rsidP="000B6C75">
            <w:r w:rsidRPr="00A75EB3">
              <w:rPr>
                <w:rFonts w:ascii="Segoe UI" w:hAnsi="Segoe UI" w:cs="Segoe UI"/>
                <w:b/>
                <w:bCs/>
                <w:i/>
                <w:iCs/>
                <w:sz w:val="18"/>
                <w:szCs w:val="18"/>
              </w:rPr>
              <w:t>1) The dilatancy/fracture distinction is not as clean as presented.</w:t>
            </w:r>
            <w:r w:rsidRPr="00A75EB3">
              <w:rPr>
                <w:rFonts w:ascii="Segoe UI" w:hAnsi="Segoe UI" w:cs="Segoe UI"/>
                <w:i/>
                <w:iCs/>
                <w:sz w:val="18"/>
                <w:szCs w:val="18"/>
              </w:rPr>
              <w:t xml:space="preserve"> The paper sets up a fairly sharp distinction between dilatancy-controlled flow and fracture-controlled flow (Section 4.1, Fig. 11). But when I read the detailed descriptions, I struggle to see where one mechanism cleanly ends and the other begins. On p.16, dilatancy is described as "not fracture mechanics driven," yet in the same paragraph we read that "bonds between clay grains may be ruptured." Bond rupture is fracturing at some scale, it's just happening at the grain scale rather than the macro scale. The processes described seem to sit on a continuum of localised deformation rather than being mechanistically distinct. I think the authors need to be more upfront about this. It would be perfectly reasonable to frame dilatancy and macro-fracture as end-members of a deformation spectrum, with the GT experiment providing evidence for a transition between them. But the current framing implies they are categorically different things, which creates confusion when the descriptions start overlapping.</w:t>
            </w:r>
          </w:p>
        </w:tc>
        <w:tc>
          <w:tcPr>
            <w:tcW w:w="6286" w:type="dxa"/>
            <w:vAlign w:val="center"/>
          </w:tcPr>
          <w:p w14:paraId="0761D31D" w14:textId="56132983" w:rsidR="004D45AF" w:rsidRPr="00A75EB3" w:rsidRDefault="004D45AF" w:rsidP="000B6C75">
            <w:r w:rsidRPr="00A75EB3">
              <w:rPr>
                <w:rFonts w:ascii="Segoe UI" w:hAnsi="Segoe UI" w:cs="Segoe UI"/>
                <w:sz w:val="18"/>
                <w:szCs w:val="18"/>
              </w:rPr>
              <w:t xml:space="preserve">The text has been changed sufficiently to show that these are distinctly different processes with different underlying physics. Dilatancy controlled flow is the elastic inflation of the pore network. Fracturing may occur only as a by-product of the inflation of the pores. It is not a controlling process. The text describing dilatancy has been updated to make this </w:t>
            </w:r>
            <w:r w:rsidR="00C5691F" w:rsidRPr="00A75EB3">
              <w:rPr>
                <w:rFonts w:ascii="Segoe UI" w:hAnsi="Segoe UI" w:cs="Segoe UI"/>
                <w:sz w:val="18"/>
                <w:szCs w:val="18"/>
              </w:rPr>
              <w:t>clearer</w:t>
            </w:r>
            <w:r w:rsidRPr="00A75EB3">
              <w:rPr>
                <w:rFonts w:ascii="Segoe UI" w:hAnsi="Segoe UI" w:cs="Segoe UI"/>
                <w:sz w:val="18"/>
                <w:szCs w:val="18"/>
              </w:rPr>
              <w:t>. The process is effectively blowing up a balloon and not the creation of new void space by the fracturing of the rock. The fracturing is like what would be expected if you had a deflated balloon covered with pap</w:t>
            </w:r>
            <w:r w:rsidR="00E82941" w:rsidRPr="00A75EB3">
              <w:rPr>
                <w:rFonts w:ascii="Segoe UI" w:hAnsi="Segoe UI" w:cs="Segoe UI"/>
                <w:sz w:val="18"/>
                <w:szCs w:val="18"/>
              </w:rPr>
              <w:t>i</w:t>
            </w:r>
            <w:r w:rsidRPr="00A75EB3">
              <w:rPr>
                <w:rFonts w:ascii="Segoe UI" w:hAnsi="Segoe UI" w:cs="Segoe UI"/>
                <w:sz w:val="18"/>
                <w:szCs w:val="18"/>
              </w:rPr>
              <w:t xml:space="preserve">er </w:t>
            </w:r>
            <w:r w:rsidR="00E82941" w:rsidRPr="00A75EB3">
              <w:rPr>
                <w:rFonts w:ascii="Segoe UI" w:hAnsi="Segoe UI" w:cs="Segoe UI"/>
                <w:sz w:val="18"/>
                <w:szCs w:val="18"/>
              </w:rPr>
              <w:t>mâché</w:t>
            </w:r>
            <w:r w:rsidRPr="00A75EB3">
              <w:rPr>
                <w:rFonts w:ascii="Segoe UI" w:hAnsi="Segoe UI" w:cs="Segoe UI"/>
                <w:sz w:val="18"/>
                <w:szCs w:val="18"/>
              </w:rPr>
              <w:t xml:space="preserve"> and you tried to inflate it. The paper would crack, but it isn’t what caused the balloon to inflate. They must have distinctly different underlying physics otherwise dilatancy wouldn’t start at the minimum effective stress. We have strengthened that point by including Graham et al. (2016). We feel the confusion was caused by saying fracturing occurred during dilatancy. We do not feel there is an overlap.</w:t>
            </w:r>
          </w:p>
        </w:tc>
      </w:tr>
      <w:tr w:rsidR="004D45AF" w:rsidRPr="00A75EB3" w14:paraId="3B350C62" w14:textId="77777777" w:rsidTr="000B6C75">
        <w:tc>
          <w:tcPr>
            <w:tcW w:w="538" w:type="dxa"/>
            <w:vAlign w:val="center"/>
          </w:tcPr>
          <w:p w14:paraId="6AD87D89" w14:textId="77777777" w:rsidR="004D45AF" w:rsidRPr="00A75EB3" w:rsidRDefault="004D45AF" w:rsidP="00F70769">
            <w:r w:rsidRPr="00A75EB3">
              <w:rPr>
                <w:rFonts w:ascii="Calibri" w:hAnsi="Calibri" w:cs="Calibri"/>
                <w:sz w:val="18"/>
                <w:szCs w:val="18"/>
              </w:rPr>
              <w:t>62</w:t>
            </w:r>
          </w:p>
        </w:tc>
        <w:tc>
          <w:tcPr>
            <w:tcW w:w="920" w:type="dxa"/>
            <w:vAlign w:val="center"/>
          </w:tcPr>
          <w:p w14:paraId="0E54D135" w14:textId="77777777" w:rsidR="004D45AF" w:rsidRPr="00A75EB3" w:rsidRDefault="004D45AF" w:rsidP="00F70769">
            <w:r w:rsidRPr="00A75EB3">
              <w:rPr>
                <w:rFonts w:ascii="Calibri" w:hAnsi="Calibri" w:cs="Calibri"/>
                <w:sz w:val="18"/>
                <w:szCs w:val="18"/>
              </w:rPr>
              <w:t>BL</w:t>
            </w:r>
          </w:p>
        </w:tc>
        <w:tc>
          <w:tcPr>
            <w:tcW w:w="6285" w:type="dxa"/>
            <w:vAlign w:val="center"/>
          </w:tcPr>
          <w:p w14:paraId="66EA8909" w14:textId="77777777" w:rsidR="004D45AF" w:rsidRPr="00A75EB3" w:rsidRDefault="004D45AF" w:rsidP="000B6C75">
            <w:r w:rsidRPr="00A75EB3">
              <w:rPr>
                <w:rFonts w:ascii="Segoe UI" w:hAnsi="Segoe UI" w:cs="Segoe UI"/>
                <w:i/>
                <w:iCs/>
                <w:sz w:val="18"/>
                <w:szCs w:val="18"/>
              </w:rPr>
              <w:t>Does this exclude the INTP03 response?</w:t>
            </w:r>
          </w:p>
        </w:tc>
        <w:tc>
          <w:tcPr>
            <w:tcW w:w="6286" w:type="dxa"/>
            <w:vAlign w:val="center"/>
          </w:tcPr>
          <w:p w14:paraId="4E98139B" w14:textId="1B5C380A" w:rsidR="004D45AF" w:rsidRPr="00A75EB3" w:rsidRDefault="004D45AF" w:rsidP="000B6C75">
            <w:r w:rsidRPr="00A75EB3">
              <w:rPr>
                <w:rFonts w:ascii="Segoe UI" w:hAnsi="Segoe UI" w:cs="Segoe UI"/>
                <w:i/>
                <w:iCs/>
                <w:sz w:val="18"/>
                <w:szCs w:val="18"/>
              </w:rPr>
              <w:t xml:space="preserve">We don’t interpret that pressure response as gas movement to INTP03. After Event 2, the pressure in INTP02 stabilises, but is </w:t>
            </w:r>
            <w:r w:rsidR="00C5691F" w:rsidRPr="00A75EB3">
              <w:rPr>
                <w:rFonts w:ascii="Segoe UI" w:hAnsi="Segoe UI" w:cs="Segoe UI"/>
                <w:i/>
                <w:iCs/>
                <w:sz w:val="18"/>
                <w:szCs w:val="18"/>
              </w:rPr>
              <w:t>more than</w:t>
            </w:r>
            <w:r w:rsidRPr="00A75EB3">
              <w:rPr>
                <w:rFonts w:ascii="Segoe UI" w:hAnsi="Segoe UI" w:cs="Segoe UI"/>
                <w:i/>
                <w:iCs/>
                <w:sz w:val="18"/>
                <w:szCs w:val="18"/>
              </w:rPr>
              <w:t xml:space="preserve"> INTP03. However, the pressure in INTP03 started to decay as a response of INTP02 pressure reducing. We interpret INTP03 response as an elastic response and not direct gas movement along the BDZ/packer interface. Sentence modified.</w:t>
            </w:r>
          </w:p>
        </w:tc>
      </w:tr>
      <w:tr w:rsidR="004D45AF" w:rsidRPr="00A75EB3" w14:paraId="69D2E58E" w14:textId="77777777" w:rsidTr="000B6C75">
        <w:tc>
          <w:tcPr>
            <w:tcW w:w="538" w:type="dxa"/>
            <w:vAlign w:val="center"/>
          </w:tcPr>
          <w:p w14:paraId="7D28D4BA" w14:textId="77777777" w:rsidR="004D45AF" w:rsidRPr="00A75EB3" w:rsidRDefault="004D45AF" w:rsidP="00F70769">
            <w:r w:rsidRPr="00A75EB3">
              <w:rPr>
                <w:rFonts w:ascii="Calibri" w:hAnsi="Calibri" w:cs="Calibri"/>
                <w:sz w:val="18"/>
                <w:szCs w:val="18"/>
              </w:rPr>
              <w:lastRenderedPageBreak/>
              <w:t>63</w:t>
            </w:r>
          </w:p>
        </w:tc>
        <w:tc>
          <w:tcPr>
            <w:tcW w:w="920" w:type="dxa"/>
            <w:vAlign w:val="center"/>
          </w:tcPr>
          <w:p w14:paraId="2275EE90" w14:textId="77777777" w:rsidR="004D45AF" w:rsidRPr="00A75EB3" w:rsidRDefault="004D45AF" w:rsidP="00F70769">
            <w:r w:rsidRPr="00A75EB3">
              <w:rPr>
                <w:rFonts w:ascii="Calibri" w:hAnsi="Calibri" w:cs="Calibri"/>
                <w:sz w:val="18"/>
                <w:szCs w:val="18"/>
              </w:rPr>
              <w:t>R1</w:t>
            </w:r>
          </w:p>
        </w:tc>
        <w:tc>
          <w:tcPr>
            <w:tcW w:w="6285" w:type="dxa"/>
            <w:vAlign w:val="center"/>
          </w:tcPr>
          <w:p w14:paraId="214DE20E" w14:textId="77777777" w:rsidR="004D45AF" w:rsidRPr="00A75EB3" w:rsidRDefault="004D45AF" w:rsidP="000B6C75">
            <w:r w:rsidRPr="00A75EB3">
              <w:rPr>
                <w:rFonts w:ascii="Calibri" w:hAnsi="Calibri" w:cs="Calibri"/>
                <w:b/>
                <w:bCs/>
                <w:sz w:val="18"/>
                <w:szCs w:val="18"/>
              </w:rPr>
              <w:t>5) Stress field uncertainty and its implications.</w:t>
            </w:r>
            <w:r w:rsidRPr="00A75EB3">
              <w:rPr>
                <w:rFonts w:ascii="Calibri" w:hAnsi="Calibri" w:cs="Calibri"/>
                <w:sz w:val="18"/>
                <w:szCs w:val="18"/>
              </w:rPr>
              <w:t xml:space="preserve"> The interpretation relies on gas pressure being "close to ??," but the stress values come from modelling of a nearby experiment and are acknowledged as poorly constrained. There is no discussion of how the Gallery 08 excavation perturbs stresses at the test location, nor how the stress state at Mont Terri (relatively shallow, with gallery effects) compares to anticipated repository conditions at depth. Given that the entire mechanistic interpretation rests on pressure relative to ??, this uncertainty deserves more than a passing mention. Consider including (1) some estimate of stress perturbation from the gallery at the injection depth, and (2) a brief discussion of how the results might transfer (or not) to repository-depth conditions.</w:t>
            </w:r>
          </w:p>
        </w:tc>
        <w:tc>
          <w:tcPr>
            <w:tcW w:w="6286" w:type="dxa"/>
            <w:vAlign w:val="center"/>
          </w:tcPr>
          <w:p w14:paraId="43E60176" w14:textId="77777777" w:rsidR="004D45AF" w:rsidRPr="00A75EB3" w:rsidRDefault="004D45AF" w:rsidP="000B6C75">
            <w:r w:rsidRPr="00A75EB3">
              <w:rPr>
                <w:rFonts w:ascii="Segoe UI" w:hAnsi="Segoe UI" w:cs="Segoe UI"/>
                <w:i/>
                <w:iCs/>
                <w:sz w:val="18"/>
                <w:szCs w:val="18"/>
              </w:rPr>
              <w:t>The text has been modified throughout to acknowledge the uncertainty in the stress estimate. However, we know that gas entry occurs at the minimum principal stress in the laboratory study and have strengthened that point. We also know from the laboratory that fracture does not happen at gas entry. Our interpretation is a combination of the laboratory and field tests. The length of the boreholes and depth of injection interval was selected so that it was outside of the EDZ influence. This has now been stated more clearly above. We have included a discussion on the applicability of the results.</w:t>
            </w:r>
          </w:p>
        </w:tc>
      </w:tr>
      <w:tr w:rsidR="004D45AF" w:rsidRPr="00A75EB3" w14:paraId="3B8503D5" w14:textId="77777777" w:rsidTr="000B6C75">
        <w:tc>
          <w:tcPr>
            <w:tcW w:w="538" w:type="dxa"/>
            <w:vAlign w:val="center"/>
          </w:tcPr>
          <w:p w14:paraId="5ABD62AF" w14:textId="77777777" w:rsidR="004D45AF" w:rsidRPr="00A75EB3" w:rsidRDefault="004D45AF" w:rsidP="00F70769">
            <w:r w:rsidRPr="00A75EB3">
              <w:rPr>
                <w:rFonts w:ascii="Calibri" w:hAnsi="Calibri" w:cs="Calibri"/>
                <w:sz w:val="18"/>
                <w:szCs w:val="18"/>
              </w:rPr>
              <w:t>64</w:t>
            </w:r>
          </w:p>
        </w:tc>
        <w:tc>
          <w:tcPr>
            <w:tcW w:w="920" w:type="dxa"/>
            <w:vAlign w:val="center"/>
          </w:tcPr>
          <w:p w14:paraId="2E7FB535" w14:textId="77777777" w:rsidR="004D45AF" w:rsidRPr="00A75EB3" w:rsidRDefault="004D45AF" w:rsidP="00F70769">
            <w:r w:rsidRPr="00A75EB3">
              <w:rPr>
                <w:rFonts w:ascii="Calibri" w:hAnsi="Calibri" w:cs="Calibri"/>
                <w:sz w:val="18"/>
                <w:szCs w:val="18"/>
              </w:rPr>
              <w:t>BL</w:t>
            </w:r>
          </w:p>
        </w:tc>
        <w:tc>
          <w:tcPr>
            <w:tcW w:w="6285" w:type="dxa"/>
            <w:vAlign w:val="center"/>
          </w:tcPr>
          <w:p w14:paraId="74577FBA" w14:textId="77777777" w:rsidR="004D45AF" w:rsidRPr="00A75EB3" w:rsidRDefault="004D45AF" w:rsidP="000B6C75">
            <w:r w:rsidRPr="00A75EB3">
              <w:rPr>
                <w:rFonts w:ascii="Segoe UI" w:hAnsi="Segoe UI" w:cs="Segoe UI"/>
                <w:i/>
                <w:iCs/>
                <w:sz w:val="18"/>
                <w:szCs w:val="18"/>
              </w:rPr>
              <w:t>Guglielmi et al. 2020 do not predict stresses at the GT site. They measure stress around the Main Fault. Also good to say what is meant by "nearby".</w:t>
            </w:r>
          </w:p>
        </w:tc>
        <w:tc>
          <w:tcPr>
            <w:tcW w:w="6286" w:type="dxa"/>
            <w:vAlign w:val="center"/>
          </w:tcPr>
          <w:p w14:paraId="5BCBFBBA" w14:textId="27944B49" w:rsidR="004D45AF" w:rsidRPr="00A75EB3" w:rsidRDefault="004D45AF" w:rsidP="000B6C75">
            <w:r w:rsidRPr="00A75EB3">
              <w:rPr>
                <w:rFonts w:ascii="Segoe UI" w:hAnsi="Segoe UI" w:cs="Segoe UI"/>
                <w:i/>
                <w:iCs/>
                <w:sz w:val="18"/>
                <w:szCs w:val="18"/>
              </w:rPr>
              <w:t xml:space="preserve">Text modified to make </w:t>
            </w:r>
            <w:r w:rsidR="00C5691F" w:rsidRPr="00A75EB3">
              <w:rPr>
                <w:rFonts w:ascii="Segoe UI" w:hAnsi="Segoe UI" w:cs="Segoe UI"/>
                <w:i/>
                <w:iCs/>
                <w:sz w:val="18"/>
                <w:szCs w:val="18"/>
              </w:rPr>
              <w:t>clearer</w:t>
            </w:r>
            <w:r w:rsidRPr="00A75EB3">
              <w:rPr>
                <w:rFonts w:ascii="Segoe UI" w:hAnsi="Segoe UI" w:cs="Segoe UI"/>
                <w:i/>
                <w:iCs/>
                <w:sz w:val="18"/>
                <w:szCs w:val="18"/>
              </w:rPr>
              <w:t>.</w:t>
            </w:r>
          </w:p>
        </w:tc>
      </w:tr>
      <w:tr w:rsidR="004D45AF" w:rsidRPr="00A75EB3" w14:paraId="22EC4BDD" w14:textId="77777777" w:rsidTr="000B6C75">
        <w:tc>
          <w:tcPr>
            <w:tcW w:w="538" w:type="dxa"/>
            <w:vAlign w:val="center"/>
          </w:tcPr>
          <w:p w14:paraId="78F0E67B" w14:textId="77777777" w:rsidR="004D45AF" w:rsidRPr="00A75EB3" w:rsidRDefault="004D45AF" w:rsidP="00F70769">
            <w:r w:rsidRPr="00A75EB3">
              <w:rPr>
                <w:rFonts w:ascii="Calibri" w:hAnsi="Calibri" w:cs="Calibri"/>
                <w:sz w:val="18"/>
                <w:szCs w:val="18"/>
              </w:rPr>
              <w:t>65</w:t>
            </w:r>
          </w:p>
        </w:tc>
        <w:tc>
          <w:tcPr>
            <w:tcW w:w="920" w:type="dxa"/>
            <w:vAlign w:val="center"/>
          </w:tcPr>
          <w:p w14:paraId="4CC6F04C" w14:textId="77777777" w:rsidR="004D45AF" w:rsidRPr="00A75EB3" w:rsidRDefault="004D45AF" w:rsidP="00F70769">
            <w:r w:rsidRPr="00A75EB3">
              <w:rPr>
                <w:rFonts w:ascii="Calibri" w:hAnsi="Calibri" w:cs="Calibri"/>
                <w:sz w:val="18"/>
                <w:szCs w:val="18"/>
              </w:rPr>
              <w:t>BL</w:t>
            </w:r>
          </w:p>
        </w:tc>
        <w:tc>
          <w:tcPr>
            <w:tcW w:w="6285" w:type="dxa"/>
            <w:vAlign w:val="center"/>
          </w:tcPr>
          <w:p w14:paraId="06FD77F1" w14:textId="77777777" w:rsidR="004D45AF" w:rsidRPr="00A75EB3" w:rsidRDefault="004D45AF" w:rsidP="000B6C75">
            <w:r w:rsidRPr="00A75EB3">
              <w:rPr>
                <w:rFonts w:ascii="Segoe UI" w:hAnsi="Segoe UI" w:cs="Segoe UI"/>
                <w:i/>
                <w:iCs/>
                <w:sz w:val="18"/>
                <w:szCs w:val="18"/>
              </w:rPr>
              <w:t>It would be useful to take some of the discussion about stresses from Guglielmi et al. (2020) who comment that "hydraulic tests allowed for a good estimate of the stress magnitude normal to the bedding, estimated to be 4.2 MPa."  This seems much closer to the opening pressures considered here.</w:t>
            </w:r>
          </w:p>
        </w:tc>
        <w:tc>
          <w:tcPr>
            <w:tcW w:w="6286" w:type="dxa"/>
            <w:vAlign w:val="center"/>
          </w:tcPr>
          <w:p w14:paraId="44EF1458" w14:textId="77777777" w:rsidR="004D45AF" w:rsidRPr="00A75EB3" w:rsidRDefault="004D45AF" w:rsidP="000B6C75">
            <w:r w:rsidRPr="00A75EB3">
              <w:rPr>
                <w:rFonts w:ascii="Segoe UI" w:hAnsi="Segoe UI" w:cs="Segoe UI"/>
                <w:i/>
                <w:iCs/>
                <w:sz w:val="18"/>
                <w:szCs w:val="18"/>
              </w:rPr>
              <w:t>This point has been incorporated earlier. I must have looked at that paper 5 times or more and hadn’t picked up that point and therefore thank the reviewer for pointing it out.</w:t>
            </w:r>
          </w:p>
        </w:tc>
      </w:tr>
      <w:tr w:rsidR="004D45AF" w:rsidRPr="00A75EB3" w14:paraId="52933613" w14:textId="77777777" w:rsidTr="000B6C75">
        <w:tc>
          <w:tcPr>
            <w:tcW w:w="538" w:type="dxa"/>
            <w:vAlign w:val="center"/>
          </w:tcPr>
          <w:p w14:paraId="5E27133B" w14:textId="77777777" w:rsidR="004D45AF" w:rsidRPr="00A75EB3" w:rsidRDefault="004D45AF" w:rsidP="00F70769">
            <w:r w:rsidRPr="00A75EB3">
              <w:rPr>
                <w:rFonts w:ascii="Calibri" w:hAnsi="Calibri" w:cs="Calibri"/>
                <w:sz w:val="18"/>
                <w:szCs w:val="18"/>
              </w:rPr>
              <w:t>66</w:t>
            </w:r>
          </w:p>
        </w:tc>
        <w:tc>
          <w:tcPr>
            <w:tcW w:w="920" w:type="dxa"/>
            <w:vAlign w:val="center"/>
          </w:tcPr>
          <w:p w14:paraId="1C19B63F" w14:textId="77777777" w:rsidR="004D45AF" w:rsidRPr="00A75EB3" w:rsidRDefault="004D45AF" w:rsidP="00F70769">
            <w:r w:rsidRPr="00A75EB3">
              <w:rPr>
                <w:rFonts w:ascii="Calibri" w:hAnsi="Calibri" w:cs="Calibri"/>
                <w:sz w:val="18"/>
                <w:szCs w:val="18"/>
              </w:rPr>
              <w:t>BL</w:t>
            </w:r>
          </w:p>
        </w:tc>
        <w:tc>
          <w:tcPr>
            <w:tcW w:w="6285" w:type="dxa"/>
            <w:vAlign w:val="center"/>
          </w:tcPr>
          <w:p w14:paraId="21715360" w14:textId="77777777" w:rsidR="004D45AF" w:rsidRPr="00A75EB3" w:rsidRDefault="004D45AF" w:rsidP="000B6C75">
            <w:r w:rsidRPr="00A75EB3">
              <w:rPr>
                <w:rFonts w:ascii="Segoe UI" w:hAnsi="Segoe UI" w:cs="Segoe UI"/>
                <w:i/>
                <w:iCs/>
                <w:sz w:val="18"/>
                <w:szCs w:val="18"/>
              </w:rPr>
              <w:t>Which model? Guglielmi et al. (2020) make a series of measurements around the fault but I'm not sure they model the stress field?</w:t>
            </w:r>
          </w:p>
        </w:tc>
        <w:tc>
          <w:tcPr>
            <w:tcW w:w="6286" w:type="dxa"/>
            <w:vAlign w:val="center"/>
          </w:tcPr>
          <w:p w14:paraId="13983E1A" w14:textId="77777777" w:rsidR="004D45AF" w:rsidRPr="00A75EB3" w:rsidRDefault="004D45AF" w:rsidP="000B6C75">
            <w:r w:rsidRPr="00A75EB3">
              <w:rPr>
                <w:rFonts w:ascii="Calibri" w:hAnsi="Calibri" w:cs="Calibri"/>
                <w:sz w:val="18"/>
                <w:szCs w:val="18"/>
              </w:rPr>
              <w:t>Modified</w:t>
            </w:r>
          </w:p>
        </w:tc>
      </w:tr>
      <w:tr w:rsidR="004D45AF" w:rsidRPr="00A75EB3" w14:paraId="0AA87B84" w14:textId="77777777" w:rsidTr="000B6C75">
        <w:tc>
          <w:tcPr>
            <w:tcW w:w="538" w:type="dxa"/>
            <w:vAlign w:val="center"/>
          </w:tcPr>
          <w:p w14:paraId="748E4D71" w14:textId="77777777" w:rsidR="004D45AF" w:rsidRPr="00A75EB3" w:rsidRDefault="004D45AF" w:rsidP="00F70769">
            <w:r w:rsidRPr="00A75EB3">
              <w:rPr>
                <w:rFonts w:ascii="Calibri" w:hAnsi="Calibri" w:cs="Calibri"/>
                <w:sz w:val="18"/>
                <w:szCs w:val="18"/>
              </w:rPr>
              <w:t>67</w:t>
            </w:r>
          </w:p>
        </w:tc>
        <w:tc>
          <w:tcPr>
            <w:tcW w:w="920" w:type="dxa"/>
            <w:vAlign w:val="center"/>
          </w:tcPr>
          <w:p w14:paraId="123DE064" w14:textId="77777777" w:rsidR="004D45AF" w:rsidRPr="00A75EB3" w:rsidRDefault="004D45AF" w:rsidP="00F70769">
            <w:r w:rsidRPr="00A75EB3">
              <w:rPr>
                <w:rFonts w:ascii="Calibri" w:hAnsi="Calibri" w:cs="Calibri"/>
                <w:sz w:val="18"/>
                <w:szCs w:val="18"/>
              </w:rPr>
              <w:t>BL</w:t>
            </w:r>
          </w:p>
        </w:tc>
        <w:tc>
          <w:tcPr>
            <w:tcW w:w="6285" w:type="dxa"/>
            <w:vAlign w:val="center"/>
          </w:tcPr>
          <w:p w14:paraId="6AD60503" w14:textId="77777777" w:rsidR="004D45AF" w:rsidRPr="00A75EB3" w:rsidRDefault="004D45AF" w:rsidP="000B6C75">
            <w:r w:rsidRPr="00A75EB3">
              <w:rPr>
                <w:rFonts w:ascii="Segoe UI" w:hAnsi="Segoe UI" w:cs="Segoe UI"/>
                <w:i/>
                <w:iCs/>
                <w:sz w:val="18"/>
                <w:szCs w:val="18"/>
              </w:rPr>
              <w:t>I think you could clarify what you mean here . Are you saying the interpretation of peak gas pressure is similar between lab and field experiments? This isn't quite what the text says.</w:t>
            </w:r>
          </w:p>
        </w:tc>
        <w:tc>
          <w:tcPr>
            <w:tcW w:w="6286" w:type="dxa"/>
            <w:vAlign w:val="center"/>
          </w:tcPr>
          <w:p w14:paraId="2F8B3622" w14:textId="7D9A4AD3" w:rsidR="004D45AF" w:rsidRPr="00A75EB3" w:rsidRDefault="004D45AF" w:rsidP="000B6C75">
            <w:r w:rsidRPr="00A75EB3">
              <w:rPr>
                <w:rFonts w:ascii="Segoe UI" w:hAnsi="Segoe UI" w:cs="Segoe UI"/>
                <w:i/>
                <w:iCs/>
                <w:sz w:val="18"/>
                <w:szCs w:val="18"/>
              </w:rPr>
              <w:t xml:space="preserve">Sentence modified to make our argument </w:t>
            </w:r>
            <w:r w:rsidR="00C5691F" w:rsidRPr="00A75EB3">
              <w:rPr>
                <w:rFonts w:ascii="Segoe UI" w:hAnsi="Segoe UI" w:cs="Segoe UI"/>
                <w:i/>
                <w:iCs/>
                <w:sz w:val="18"/>
                <w:szCs w:val="18"/>
              </w:rPr>
              <w:t>clearer</w:t>
            </w:r>
            <w:r w:rsidRPr="00A75EB3">
              <w:rPr>
                <w:rFonts w:ascii="Segoe UI" w:hAnsi="Segoe UI" w:cs="Segoe UI"/>
                <w:i/>
                <w:iCs/>
                <w:sz w:val="18"/>
                <w:szCs w:val="18"/>
              </w:rPr>
              <w:t>.</w:t>
            </w:r>
          </w:p>
        </w:tc>
      </w:tr>
      <w:tr w:rsidR="004D45AF" w:rsidRPr="00A75EB3" w14:paraId="57A1B614" w14:textId="77777777" w:rsidTr="000B6C75">
        <w:tc>
          <w:tcPr>
            <w:tcW w:w="538" w:type="dxa"/>
            <w:vAlign w:val="center"/>
          </w:tcPr>
          <w:p w14:paraId="7C971D2A" w14:textId="77777777" w:rsidR="004D45AF" w:rsidRPr="00A75EB3" w:rsidRDefault="004D45AF" w:rsidP="00F70769">
            <w:r w:rsidRPr="00A75EB3">
              <w:rPr>
                <w:rFonts w:ascii="Calibri" w:hAnsi="Calibri" w:cs="Calibri"/>
                <w:sz w:val="18"/>
                <w:szCs w:val="18"/>
              </w:rPr>
              <w:t>68</w:t>
            </w:r>
          </w:p>
        </w:tc>
        <w:tc>
          <w:tcPr>
            <w:tcW w:w="920" w:type="dxa"/>
            <w:vAlign w:val="center"/>
          </w:tcPr>
          <w:p w14:paraId="4C46C686" w14:textId="77777777" w:rsidR="004D45AF" w:rsidRPr="00A75EB3" w:rsidRDefault="004D45AF" w:rsidP="00F70769">
            <w:r w:rsidRPr="00A75EB3">
              <w:rPr>
                <w:rFonts w:ascii="Calibri" w:hAnsi="Calibri" w:cs="Calibri"/>
                <w:sz w:val="18"/>
                <w:szCs w:val="18"/>
              </w:rPr>
              <w:t>BL</w:t>
            </w:r>
          </w:p>
        </w:tc>
        <w:tc>
          <w:tcPr>
            <w:tcW w:w="6285" w:type="dxa"/>
            <w:vAlign w:val="center"/>
          </w:tcPr>
          <w:p w14:paraId="523ADCAB" w14:textId="77777777" w:rsidR="004D45AF" w:rsidRPr="00A75EB3" w:rsidRDefault="004D45AF" w:rsidP="000B6C75">
            <w:r w:rsidRPr="00A75EB3">
              <w:rPr>
                <w:rFonts w:ascii="Segoe UI" w:hAnsi="Segoe UI" w:cs="Segoe UI"/>
                <w:i/>
                <w:iCs/>
                <w:sz w:val="18"/>
                <w:szCs w:val="18"/>
              </w:rPr>
              <w:t>Does this exclude the very small responses seen in Figure 6 to events 1.1-1.4.</w:t>
            </w:r>
          </w:p>
        </w:tc>
        <w:tc>
          <w:tcPr>
            <w:tcW w:w="6286" w:type="dxa"/>
            <w:vAlign w:val="center"/>
          </w:tcPr>
          <w:p w14:paraId="37306BBB" w14:textId="77777777" w:rsidR="004D45AF" w:rsidRPr="00A75EB3" w:rsidRDefault="004D45AF" w:rsidP="000B6C75">
            <w:r w:rsidRPr="00A75EB3">
              <w:rPr>
                <w:rFonts w:ascii="Segoe UI" w:hAnsi="Segoe UI" w:cs="Segoe UI"/>
                <w:i/>
                <w:iCs/>
                <w:sz w:val="18"/>
                <w:szCs w:val="18"/>
              </w:rPr>
              <w:t>This sentence refers to events after the data shown in figure 6. There isn’t enough room to include the data n graph form, so we have deleted this sentence as it is confusing. The point that we were trying to make is initial entry shows events, but subsequent events (as seen in extensometer and FO) do not.</w:t>
            </w:r>
          </w:p>
        </w:tc>
      </w:tr>
      <w:tr w:rsidR="004D45AF" w:rsidRPr="00A75EB3" w14:paraId="56B7130D" w14:textId="77777777" w:rsidTr="000B6C75">
        <w:tc>
          <w:tcPr>
            <w:tcW w:w="538" w:type="dxa"/>
            <w:vAlign w:val="center"/>
          </w:tcPr>
          <w:p w14:paraId="71D3129A" w14:textId="77777777" w:rsidR="004D45AF" w:rsidRPr="00A75EB3" w:rsidRDefault="004D45AF" w:rsidP="00F70769">
            <w:r w:rsidRPr="00A75EB3">
              <w:rPr>
                <w:rFonts w:ascii="Calibri" w:hAnsi="Calibri" w:cs="Calibri"/>
                <w:sz w:val="18"/>
                <w:szCs w:val="18"/>
              </w:rPr>
              <w:t>69</w:t>
            </w:r>
          </w:p>
        </w:tc>
        <w:tc>
          <w:tcPr>
            <w:tcW w:w="920" w:type="dxa"/>
            <w:vAlign w:val="center"/>
          </w:tcPr>
          <w:p w14:paraId="497D8905" w14:textId="77777777" w:rsidR="004D45AF" w:rsidRPr="00A75EB3" w:rsidRDefault="004D45AF" w:rsidP="00F70769">
            <w:r w:rsidRPr="00A75EB3">
              <w:rPr>
                <w:rFonts w:ascii="Calibri" w:hAnsi="Calibri" w:cs="Calibri"/>
                <w:sz w:val="18"/>
                <w:szCs w:val="18"/>
              </w:rPr>
              <w:t>R1</w:t>
            </w:r>
          </w:p>
        </w:tc>
        <w:tc>
          <w:tcPr>
            <w:tcW w:w="6285" w:type="dxa"/>
            <w:vAlign w:val="center"/>
          </w:tcPr>
          <w:p w14:paraId="6FFE4E05" w14:textId="77777777" w:rsidR="004D45AF" w:rsidRPr="00A75EB3" w:rsidRDefault="004D45AF" w:rsidP="000B6C75">
            <w:r w:rsidRPr="00A75EB3">
              <w:rPr>
                <w:rFonts w:ascii="Calibri" w:hAnsi="Calibri" w:cs="Calibri"/>
                <w:b/>
                <w:bCs/>
                <w:sz w:val="18"/>
                <w:szCs w:val="18"/>
              </w:rPr>
              <w:t xml:space="preserve">4) Alternative explanations for Event 2 deserve more space. </w:t>
            </w:r>
            <w:r w:rsidRPr="00A75EB3">
              <w:rPr>
                <w:rFonts w:ascii="Calibri" w:hAnsi="Calibri" w:cs="Calibri"/>
                <w:sz w:val="18"/>
                <w:szCs w:val="18"/>
              </w:rPr>
              <w:t xml:space="preserve">The cumulative evidence for Event 2 being qualitatively different from Event 1 is reasonably convincing, the speed of strain development, the widespread deformation, the helium detections all point to something more energetic happening. I don't dispute that. But "fracture" is not the only explanation consistent with these observations. Other possibilities include: (1) rapid coalescence of the dilatant pathway network into a connected system (a percolation-type transition), (2) connection to the borehole EDZ or grout interfaces providing a sudden low-resistance pathway, (3) a series of pathway openings that collectively look fracture-like but aren't a single discrete feature. The fibre optic data are suggestive of something different from Event 1, and fracture (or bedding-plane splitting) is a reasonable interpretation. But the paper presents it as more or less single possibility. I think a more balanced </w:t>
            </w:r>
            <w:r w:rsidRPr="00A75EB3">
              <w:rPr>
                <w:rFonts w:ascii="Calibri" w:hAnsi="Calibri" w:cs="Calibri"/>
                <w:sz w:val="18"/>
                <w:szCs w:val="18"/>
              </w:rPr>
              <w:lastRenderedPageBreak/>
              <w:t>discussion acknowledging the ambiguity would actually strengthen the paper, it shows the authors have thought carefully about alternatives.</w:t>
            </w:r>
          </w:p>
        </w:tc>
        <w:tc>
          <w:tcPr>
            <w:tcW w:w="6286" w:type="dxa"/>
            <w:vAlign w:val="center"/>
          </w:tcPr>
          <w:p w14:paraId="0A04016B" w14:textId="77777777" w:rsidR="004D45AF" w:rsidRPr="00A75EB3" w:rsidRDefault="004D45AF" w:rsidP="000B6C75">
            <w:r w:rsidRPr="00A75EB3">
              <w:rPr>
                <w:rFonts w:ascii="Segoe UI" w:hAnsi="Segoe UI" w:cs="Segoe UI"/>
                <w:i/>
                <w:iCs/>
                <w:sz w:val="18"/>
                <w:szCs w:val="18"/>
              </w:rPr>
              <w:lastRenderedPageBreak/>
              <w:t>We have broadened the discussion of event 2 to include more possible mechanisms and given reasons for why they are unlikely. There is not enough evidence to definitively say what occurred - which is the nature of field tests. Follow-up experiments will be conducted to address the outstanding uncertainties and to give more understanding to the processes that drove Event 2.</w:t>
            </w:r>
          </w:p>
        </w:tc>
      </w:tr>
      <w:tr w:rsidR="004D45AF" w:rsidRPr="00A75EB3" w14:paraId="2D6BD442" w14:textId="77777777" w:rsidTr="000B6C75">
        <w:tc>
          <w:tcPr>
            <w:tcW w:w="538" w:type="dxa"/>
            <w:vAlign w:val="center"/>
          </w:tcPr>
          <w:p w14:paraId="4862C7DE" w14:textId="77777777" w:rsidR="004D45AF" w:rsidRPr="00A75EB3" w:rsidRDefault="004D45AF" w:rsidP="00F70769">
            <w:r w:rsidRPr="00A75EB3">
              <w:rPr>
                <w:rFonts w:ascii="Calibri" w:hAnsi="Calibri" w:cs="Calibri"/>
                <w:sz w:val="18"/>
                <w:szCs w:val="18"/>
              </w:rPr>
              <w:t>70</w:t>
            </w:r>
          </w:p>
        </w:tc>
        <w:tc>
          <w:tcPr>
            <w:tcW w:w="920" w:type="dxa"/>
            <w:vAlign w:val="center"/>
          </w:tcPr>
          <w:p w14:paraId="109A69F1" w14:textId="77777777" w:rsidR="004D45AF" w:rsidRPr="00A75EB3" w:rsidRDefault="004D45AF" w:rsidP="00F70769">
            <w:r w:rsidRPr="00A75EB3">
              <w:rPr>
                <w:rFonts w:ascii="Calibri" w:hAnsi="Calibri" w:cs="Calibri"/>
                <w:sz w:val="18"/>
                <w:szCs w:val="18"/>
              </w:rPr>
              <w:t>BL</w:t>
            </w:r>
          </w:p>
        </w:tc>
        <w:tc>
          <w:tcPr>
            <w:tcW w:w="6285" w:type="dxa"/>
            <w:vAlign w:val="center"/>
          </w:tcPr>
          <w:p w14:paraId="0EDEF14F" w14:textId="77777777" w:rsidR="004D45AF" w:rsidRPr="00A75EB3" w:rsidRDefault="004D45AF" w:rsidP="000B6C75">
            <w:r w:rsidRPr="00A75EB3">
              <w:rPr>
                <w:rFonts w:ascii="Segoe UI" w:hAnsi="Segoe UI" w:cs="Segoe UI"/>
                <w:i/>
                <w:iCs/>
                <w:sz w:val="18"/>
                <w:szCs w:val="18"/>
              </w:rPr>
              <w:t>3720kPa at line 248?</w:t>
            </w:r>
          </w:p>
        </w:tc>
        <w:tc>
          <w:tcPr>
            <w:tcW w:w="6286" w:type="dxa"/>
            <w:vAlign w:val="center"/>
          </w:tcPr>
          <w:p w14:paraId="19DC245D" w14:textId="77777777" w:rsidR="004D45AF" w:rsidRPr="00A75EB3" w:rsidRDefault="004D45AF" w:rsidP="000B6C75">
            <w:r w:rsidRPr="00A75EB3">
              <w:rPr>
                <w:rFonts w:ascii="Segoe UI" w:hAnsi="Segoe UI" w:cs="Segoe UI"/>
                <w:i/>
                <w:iCs/>
                <w:sz w:val="18"/>
                <w:szCs w:val="18"/>
              </w:rPr>
              <w:t>Rounded to 3 decimal places to be consistent</w:t>
            </w:r>
          </w:p>
        </w:tc>
      </w:tr>
      <w:tr w:rsidR="004D45AF" w:rsidRPr="00A75EB3" w14:paraId="09CAF6D4" w14:textId="77777777" w:rsidTr="000B6C75">
        <w:tc>
          <w:tcPr>
            <w:tcW w:w="538" w:type="dxa"/>
            <w:vAlign w:val="center"/>
          </w:tcPr>
          <w:p w14:paraId="1CBAC4F7" w14:textId="77777777" w:rsidR="004D45AF" w:rsidRPr="00A75EB3" w:rsidRDefault="004D45AF" w:rsidP="00F70769">
            <w:r w:rsidRPr="00A75EB3">
              <w:rPr>
                <w:rFonts w:ascii="Calibri" w:hAnsi="Calibri" w:cs="Calibri"/>
                <w:sz w:val="18"/>
                <w:szCs w:val="18"/>
              </w:rPr>
              <w:t>71</w:t>
            </w:r>
          </w:p>
        </w:tc>
        <w:tc>
          <w:tcPr>
            <w:tcW w:w="920" w:type="dxa"/>
            <w:vAlign w:val="center"/>
          </w:tcPr>
          <w:p w14:paraId="4422FB2A" w14:textId="77777777" w:rsidR="004D45AF" w:rsidRPr="00A75EB3" w:rsidRDefault="004D45AF" w:rsidP="00F70769">
            <w:r w:rsidRPr="00A75EB3">
              <w:rPr>
                <w:rFonts w:ascii="Calibri" w:hAnsi="Calibri" w:cs="Calibri"/>
                <w:sz w:val="18"/>
                <w:szCs w:val="18"/>
              </w:rPr>
              <w:t>BL</w:t>
            </w:r>
          </w:p>
        </w:tc>
        <w:tc>
          <w:tcPr>
            <w:tcW w:w="6285" w:type="dxa"/>
            <w:vAlign w:val="center"/>
          </w:tcPr>
          <w:p w14:paraId="0D0A6662" w14:textId="77777777" w:rsidR="004D45AF" w:rsidRPr="00A75EB3" w:rsidRDefault="004D45AF" w:rsidP="000B6C75">
            <w:r w:rsidRPr="00A75EB3">
              <w:rPr>
                <w:rFonts w:ascii="Segoe UI" w:hAnsi="Segoe UI" w:cs="Segoe UI"/>
                <w:i/>
                <w:iCs/>
                <w:sz w:val="18"/>
                <w:szCs w:val="18"/>
              </w:rPr>
              <w:t>Again which model?</w:t>
            </w:r>
          </w:p>
        </w:tc>
        <w:tc>
          <w:tcPr>
            <w:tcW w:w="6286" w:type="dxa"/>
            <w:vAlign w:val="center"/>
          </w:tcPr>
          <w:p w14:paraId="63067532" w14:textId="77777777" w:rsidR="004D45AF" w:rsidRPr="00A75EB3" w:rsidRDefault="004D45AF" w:rsidP="000B6C75">
            <w:r w:rsidRPr="00A75EB3">
              <w:rPr>
                <w:rFonts w:ascii="Calibri" w:hAnsi="Calibri" w:cs="Calibri"/>
                <w:sz w:val="18"/>
                <w:szCs w:val="18"/>
              </w:rPr>
              <w:t>Modified</w:t>
            </w:r>
          </w:p>
        </w:tc>
      </w:tr>
      <w:tr w:rsidR="004D45AF" w:rsidRPr="00A75EB3" w14:paraId="342D9BB2" w14:textId="77777777" w:rsidTr="000B6C75">
        <w:tc>
          <w:tcPr>
            <w:tcW w:w="538" w:type="dxa"/>
            <w:vAlign w:val="center"/>
          </w:tcPr>
          <w:p w14:paraId="4A6BD990" w14:textId="77777777" w:rsidR="004D45AF" w:rsidRPr="00A75EB3" w:rsidRDefault="004D45AF" w:rsidP="00F70769">
            <w:r w:rsidRPr="00A75EB3">
              <w:rPr>
                <w:rFonts w:ascii="Calibri" w:hAnsi="Calibri" w:cs="Calibri"/>
                <w:sz w:val="18"/>
                <w:szCs w:val="18"/>
              </w:rPr>
              <w:t>72</w:t>
            </w:r>
          </w:p>
        </w:tc>
        <w:tc>
          <w:tcPr>
            <w:tcW w:w="920" w:type="dxa"/>
            <w:vAlign w:val="center"/>
          </w:tcPr>
          <w:p w14:paraId="26864C25" w14:textId="77777777" w:rsidR="004D45AF" w:rsidRPr="00A75EB3" w:rsidRDefault="004D45AF" w:rsidP="00F70769">
            <w:r w:rsidRPr="00A75EB3">
              <w:rPr>
                <w:rFonts w:ascii="Calibri" w:hAnsi="Calibri" w:cs="Calibri"/>
                <w:sz w:val="18"/>
                <w:szCs w:val="18"/>
              </w:rPr>
              <w:t>BL</w:t>
            </w:r>
          </w:p>
        </w:tc>
        <w:tc>
          <w:tcPr>
            <w:tcW w:w="6285" w:type="dxa"/>
            <w:vAlign w:val="center"/>
          </w:tcPr>
          <w:p w14:paraId="0923F153" w14:textId="77777777" w:rsidR="004D45AF" w:rsidRPr="00A75EB3" w:rsidRDefault="004D45AF" w:rsidP="000B6C75">
            <w:r w:rsidRPr="00A75EB3">
              <w:rPr>
                <w:rFonts w:ascii="Segoe UI" w:hAnsi="Segoe UI" w:cs="Segoe UI"/>
                <w:i/>
                <w:iCs/>
                <w:sz w:val="18"/>
                <w:szCs w:val="18"/>
              </w:rPr>
              <w:t>Some comment is needed to caution that compacted bentonite may not behave in a similar manner as the indurated OPA?</w:t>
            </w:r>
          </w:p>
        </w:tc>
        <w:tc>
          <w:tcPr>
            <w:tcW w:w="6286" w:type="dxa"/>
            <w:vAlign w:val="center"/>
          </w:tcPr>
          <w:p w14:paraId="42EDB460" w14:textId="77777777" w:rsidR="004D45AF" w:rsidRPr="00A75EB3" w:rsidRDefault="004D45AF" w:rsidP="000B6C75">
            <w:r w:rsidRPr="00A75EB3">
              <w:rPr>
                <w:rFonts w:ascii="Segoe UI" w:hAnsi="Segoe UI" w:cs="Segoe UI"/>
                <w:i/>
                <w:iCs/>
                <w:sz w:val="18"/>
                <w:szCs w:val="18"/>
              </w:rPr>
              <w:t>Added the caution, although the following example shows similar behaviour in OPA.</w:t>
            </w:r>
          </w:p>
        </w:tc>
      </w:tr>
      <w:tr w:rsidR="004D45AF" w:rsidRPr="00A75EB3" w14:paraId="6E3E9FB0" w14:textId="77777777" w:rsidTr="000B6C75">
        <w:tc>
          <w:tcPr>
            <w:tcW w:w="538" w:type="dxa"/>
            <w:vAlign w:val="center"/>
          </w:tcPr>
          <w:p w14:paraId="54BAC6D1" w14:textId="77777777" w:rsidR="004D45AF" w:rsidRPr="00A75EB3" w:rsidRDefault="004D45AF" w:rsidP="00F70769">
            <w:r w:rsidRPr="00A75EB3">
              <w:rPr>
                <w:rFonts w:ascii="Calibri" w:hAnsi="Calibri" w:cs="Calibri"/>
                <w:sz w:val="18"/>
                <w:szCs w:val="18"/>
              </w:rPr>
              <w:t>73</w:t>
            </w:r>
          </w:p>
        </w:tc>
        <w:tc>
          <w:tcPr>
            <w:tcW w:w="920" w:type="dxa"/>
            <w:vAlign w:val="center"/>
          </w:tcPr>
          <w:p w14:paraId="1C6A20E3" w14:textId="77777777" w:rsidR="004D45AF" w:rsidRPr="00A75EB3" w:rsidRDefault="004D45AF" w:rsidP="00F70769">
            <w:r w:rsidRPr="00A75EB3">
              <w:rPr>
                <w:rFonts w:ascii="Calibri" w:hAnsi="Calibri" w:cs="Calibri"/>
                <w:sz w:val="18"/>
                <w:szCs w:val="18"/>
              </w:rPr>
              <w:t>BL</w:t>
            </w:r>
          </w:p>
        </w:tc>
        <w:tc>
          <w:tcPr>
            <w:tcW w:w="6285" w:type="dxa"/>
            <w:vAlign w:val="center"/>
          </w:tcPr>
          <w:p w14:paraId="2E7C5997" w14:textId="77777777" w:rsidR="004D45AF" w:rsidRPr="00A75EB3" w:rsidRDefault="004D45AF" w:rsidP="000B6C75">
            <w:r w:rsidRPr="00A75EB3">
              <w:rPr>
                <w:rFonts w:ascii="Segoe UI" w:hAnsi="Segoe UI" w:cs="Segoe UI"/>
                <w:i/>
                <w:iCs/>
                <w:sz w:val="18"/>
                <w:szCs w:val="18"/>
              </w:rPr>
              <w:t xml:space="preserve">A possible explanation is that the presence of gas flow path allowed rapid propagation of the increased pore pressure along a feature - this could be analogous to the interpretation of shear and opening by Cappa et al. (2022) of the FS experiments. </w:t>
            </w:r>
          </w:p>
        </w:tc>
        <w:tc>
          <w:tcPr>
            <w:tcW w:w="6286" w:type="dxa"/>
            <w:vAlign w:val="center"/>
          </w:tcPr>
          <w:p w14:paraId="7385C760" w14:textId="77777777" w:rsidR="004D45AF" w:rsidRPr="00A75EB3" w:rsidRDefault="004D45AF" w:rsidP="000B6C75">
            <w:r w:rsidRPr="00A75EB3">
              <w:rPr>
                <w:rFonts w:ascii="Segoe UI" w:hAnsi="Segoe UI" w:cs="Segoe UI"/>
                <w:i/>
                <w:iCs/>
                <w:sz w:val="18"/>
                <w:szCs w:val="18"/>
              </w:rPr>
              <w:t>This has now been incorporated into the discussion.</w:t>
            </w:r>
          </w:p>
        </w:tc>
      </w:tr>
      <w:tr w:rsidR="004D45AF" w:rsidRPr="00A75EB3" w14:paraId="065330F3" w14:textId="77777777" w:rsidTr="000B6C75">
        <w:tc>
          <w:tcPr>
            <w:tcW w:w="538" w:type="dxa"/>
            <w:vAlign w:val="center"/>
          </w:tcPr>
          <w:p w14:paraId="73811FD7" w14:textId="77777777" w:rsidR="004D45AF" w:rsidRPr="00A75EB3" w:rsidRDefault="004D45AF" w:rsidP="00F70769">
            <w:r w:rsidRPr="00A75EB3">
              <w:rPr>
                <w:rFonts w:ascii="Calibri" w:hAnsi="Calibri" w:cs="Calibri"/>
                <w:sz w:val="18"/>
                <w:szCs w:val="18"/>
              </w:rPr>
              <w:t>74</w:t>
            </w:r>
          </w:p>
        </w:tc>
        <w:tc>
          <w:tcPr>
            <w:tcW w:w="920" w:type="dxa"/>
            <w:vAlign w:val="center"/>
          </w:tcPr>
          <w:p w14:paraId="3BAF7384" w14:textId="77777777" w:rsidR="004D45AF" w:rsidRPr="00A75EB3" w:rsidRDefault="004D45AF" w:rsidP="00F70769">
            <w:r w:rsidRPr="00A75EB3">
              <w:rPr>
                <w:rFonts w:ascii="Calibri" w:hAnsi="Calibri" w:cs="Calibri"/>
                <w:sz w:val="18"/>
                <w:szCs w:val="18"/>
              </w:rPr>
              <w:t>BL</w:t>
            </w:r>
          </w:p>
        </w:tc>
        <w:tc>
          <w:tcPr>
            <w:tcW w:w="6285" w:type="dxa"/>
            <w:vAlign w:val="center"/>
          </w:tcPr>
          <w:p w14:paraId="54EF64E5" w14:textId="77777777" w:rsidR="004D45AF" w:rsidRPr="00A75EB3" w:rsidRDefault="004D45AF" w:rsidP="000B6C75">
            <w:r w:rsidRPr="00A75EB3">
              <w:rPr>
                <w:rFonts w:ascii="Segoe UI" w:hAnsi="Segoe UI" w:cs="Segoe UI"/>
                <w:i/>
                <w:iCs/>
                <w:sz w:val="18"/>
                <w:szCs w:val="18"/>
              </w:rPr>
              <w:t>Flow of gas was limited but continued post shut-in?</w:t>
            </w:r>
          </w:p>
        </w:tc>
        <w:tc>
          <w:tcPr>
            <w:tcW w:w="6286" w:type="dxa"/>
            <w:vAlign w:val="center"/>
          </w:tcPr>
          <w:p w14:paraId="7EFE8C24" w14:textId="77777777" w:rsidR="004D45AF" w:rsidRPr="00A75EB3" w:rsidRDefault="004D45AF" w:rsidP="000B6C75">
            <w:r w:rsidRPr="00A75EB3">
              <w:rPr>
                <w:rFonts w:ascii="Segoe UI" w:hAnsi="Segoe UI" w:cs="Segoe UI"/>
                <w:i/>
                <w:iCs/>
                <w:sz w:val="18"/>
                <w:szCs w:val="18"/>
              </w:rPr>
              <w:t>Sentence has been improved. The fracture continued to drain post-shut in.</w:t>
            </w:r>
          </w:p>
        </w:tc>
      </w:tr>
      <w:tr w:rsidR="004D45AF" w:rsidRPr="00A75EB3" w14:paraId="62DF024B" w14:textId="77777777" w:rsidTr="000B6C75">
        <w:tc>
          <w:tcPr>
            <w:tcW w:w="538" w:type="dxa"/>
            <w:vAlign w:val="center"/>
          </w:tcPr>
          <w:p w14:paraId="40899519" w14:textId="77777777" w:rsidR="004D45AF" w:rsidRPr="00A75EB3" w:rsidRDefault="004D45AF" w:rsidP="00F70769">
            <w:r w:rsidRPr="00A75EB3">
              <w:rPr>
                <w:rFonts w:ascii="Calibri" w:hAnsi="Calibri" w:cs="Calibri"/>
                <w:sz w:val="18"/>
                <w:szCs w:val="18"/>
              </w:rPr>
              <w:t>75</w:t>
            </w:r>
          </w:p>
        </w:tc>
        <w:tc>
          <w:tcPr>
            <w:tcW w:w="920" w:type="dxa"/>
            <w:vAlign w:val="center"/>
          </w:tcPr>
          <w:p w14:paraId="7929AA1C" w14:textId="77777777" w:rsidR="004D45AF" w:rsidRPr="00A75EB3" w:rsidRDefault="004D45AF" w:rsidP="00F70769">
            <w:r w:rsidRPr="00A75EB3">
              <w:rPr>
                <w:rFonts w:ascii="Calibri" w:hAnsi="Calibri" w:cs="Calibri"/>
                <w:sz w:val="18"/>
                <w:szCs w:val="18"/>
              </w:rPr>
              <w:t>BL</w:t>
            </w:r>
          </w:p>
        </w:tc>
        <w:tc>
          <w:tcPr>
            <w:tcW w:w="6285" w:type="dxa"/>
            <w:vAlign w:val="center"/>
          </w:tcPr>
          <w:p w14:paraId="4E6FDFB2" w14:textId="77777777" w:rsidR="004D45AF" w:rsidRPr="00A75EB3" w:rsidRDefault="004D45AF" w:rsidP="000B6C75">
            <w:r w:rsidRPr="00A75EB3">
              <w:rPr>
                <w:rFonts w:ascii="Segoe UI" w:hAnsi="Segoe UI" w:cs="Segoe UI"/>
                <w:i/>
                <w:iCs/>
                <w:sz w:val="18"/>
                <w:szCs w:val="18"/>
              </w:rPr>
              <w:t>and the response in multiple boreholes</w:t>
            </w:r>
          </w:p>
        </w:tc>
        <w:tc>
          <w:tcPr>
            <w:tcW w:w="6286" w:type="dxa"/>
            <w:vAlign w:val="center"/>
          </w:tcPr>
          <w:p w14:paraId="34E57C51" w14:textId="77777777" w:rsidR="004D45AF" w:rsidRPr="00A75EB3" w:rsidRDefault="004D45AF" w:rsidP="000B6C75">
            <w:r w:rsidRPr="00A75EB3">
              <w:rPr>
                <w:rFonts w:ascii="Calibri" w:hAnsi="Calibri" w:cs="Calibri"/>
                <w:sz w:val="18"/>
                <w:szCs w:val="18"/>
              </w:rPr>
              <w:t>Adopted</w:t>
            </w:r>
          </w:p>
        </w:tc>
      </w:tr>
      <w:tr w:rsidR="004D45AF" w:rsidRPr="00A75EB3" w14:paraId="73B72AA8" w14:textId="77777777" w:rsidTr="000B6C75">
        <w:tc>
          <w:tcPr>
            <w:tcW w:w="538" w:type="dxa"/>
            <w:vAlign w:val="center"/>
          </w:tcPr>
          <w:p w14:paraId="2067F368" w14:textId="77777777" w:rsidR="004D45AF" w:rsidRPr="00A75EB3" w:rsidRDefault="004D45AF" w:rsidP="00F70769">
            <w:r w:rsidRPr="00A75EB3">
              <w:rPr>
                <w:rFonts w:ascii="Calibri" w:hAnsi="Calibri" w:cs="Calibri"/>
                <w:sz w:val="18"/>
                <w:szCs w:val="18"/>
              </w:rPr>
              <w:t>76</w:t>
            </w:r>
          </w:p>
        </w:tc>
        <w:tc>
          <w:tcPr>
            <w:tcW w:w="920" w:type="dxa"/>
            <w:vAlign w:val="center"/>
          </w:tcPr>
          <w:p w14:paraId="4EF18F6F" w14:textId="77777777" w:rsidR="004D45AF" w:rsidRPr="00A75EB3" w:rsidRDefault="004D45AF" w:rsidP="00F70769">
            <w:r w:rsidRPr="00A75EB3">
              <w:rPr>
                <w:rFonts w:ascii="Calibri" w:hAnsi="Calibri" w:cs="Calibri"/>
                <w:sz w:val="18"/>
                <w:szCs w:val="18"/>
              </w:rPr>
              <w:t>BL</w:t>
            </w:r>
          </w:p>
        </w:tc>
        <w:tc>
          <w:tcPr>
            <w:tcW w:w="6285" w:type="dxa"/>
            <w:vAlign w:val="center"/>
          </w:tcPr>
          <w:p w14:paraId="24186713" w14:textId="77777777" w:rsidR="004D45AF" w:rsidRPr="00A75EB3" w:rsidRDefault="004D45AF" w:rsidP="000B6C75">
            <w:r w:rsidRPr="00A75EB3">
              <w:rPr>
                <w:rFonts w:ascii="Segoe UI" w:hAnsi="Segoe UI" w:cs="Segoe UI"/>
                <w:i/>
                <w:iCs/>
                <w:sz w:val="18"/>
                <w:szCs w:val="18"/>
              </w:rPr>
              <w:t>There is significant uncertainty on the minimum stress so this may not be the case</w:t>
            </w:r>
          </w:p>
        </w:tc>
        <w:tc>
          <w:tcPr>
            <w:tcW w:w="6286" w:type="dxa"/>
            <w:vAlign w:val="center"/>
          </w:tcPr>
          <w:p w14:paraId="5736FDE5" w14:textId="77777777" w:rsidR="004D45AF" w:rsidRPr="00A75EB3" w:rsidRDefault="004D45AF" w:rsidP="000B6C75">
            <w:r w:rsidRPr="00A75EB3">
              <w:rPr>
                <w:rFonts w:ascii="Segoe UI" w:hAnsi="Segoe UI" w:cs="Segoe UI"/>
                <w:sz w:val="18"/>
                <w:szCs w:val="18"/>
              </w:rPr>
              <w:t>Paragraph now deleted.</w:t>
            </w:r>
          </w:p>
        </w:tc>
      </w:tr>
      <w:tr w:rsidR="004D45AF" w:rsidRPr="00A75EB3" w14:paraId="7EA24E27" w14:textId="77777777" w:rsidTr="000B6C75">
        <w:tc>
          <w:tcPr>
            <w:tcW w:w="538" w:type="dxa"/>
            <w:vAlign w:val="center"/>
          </w:tcPr>
          <w:p w14:paraId="54EC6185" w14:textId="77777777" w:rsidR="004D45AF" w:rsidRPr="00A75EB3" w:rsidRDefault="004D45AF" w:rsidP="00F70769">
            <w:r w:rsidRPr="00A75EB3">
              <w:rPr>
                <w:rFonts w:ascii="Calibri" w:hAnsi="Calibri" w:cs="Calibri"/>
                <w:sz w:val="18"/>
                <w:szCs w:val="18"/>
              </w:rPr>
              <w:t>77</w:t>
            </w:r>
          </w:p>
        </w:tc>
        <w:tc>
          <w:tcPr>
            <w:tcW w:w="920" w:type="dxa"/>
            <w:vAlign w:val="center"/>
          </w:tcPr>
          <w:p w14:paraId="0B661A24" w14:textId="77777777" w:rsidR="004D45AF" w:rsidRPr="00A75EB3" w:rsidRDefault="004D45AF" w:rsidP="00F70769">
            <w:r w:rsidRPr="00A75EB3">
              <w:rPr>
                <w:rFonts w:ascii="Calibri" w:hAnsi="Calibri" w:cs="Calibri"/>
                <w:sz w:val="18"/>
                <w:szCs w:val="18"/>
              </w:rPr>
              <w:t>BL</w:t>
            </w:r>
          </w:p>
        </w:tc>
        <w:tc>
          <w:tcPr>
            <w:tcW w:w="6285" w:type="dxa"/>
            <w:vAlign w:val="center"/>
          </w:tcPr>
          <w:p w14:paraId="67057CFD" w14:textId="77777777" w:rsidR="004D45AF" w:rsidRPr="00A75EB3" w:rsidRDefault="004D45AF" w:rsidP="000B6C75">
            <w:r w:rsidRPr="00A75EB3">
              <w:rPr>
                <w:rFonts w:ascii="Segoe UI" w:hAnsi="Segoe UI" w:cs="Segoe UI"/>
                <w:i/>
                <w:iCs/>
                <w:sz w:val="18"/>
                <w:szCs w:val="18"/>
              </w:rPr>
              <w:t>What is the difference between a "bedding plane split" and a gas fracture?</w:t>
            </w:r>
          </w:p>
        </w:tc>
        <w:tc>
          <w:tcPr>
            <w:tcW w:w="6286" w:type="dxa"/>
            <w:vAlign w:val="center"/>
          </w:tcPr>
          <w:p w14:paraId="5898F2AA" w14:textId="77777777" w:rsidR="004D45AF" w:rsidRPr="00A75EB3" w:rsidRDefault="004D45AF" w:rsidP="000B6C75">
            <w:r w:rsidRPr="00A75EB3">
              <w:rPr>
                <w:rFonts w:ascii="Segoe UI" w:hAnsi="Segoe UI" w:cs="Segoe UI"/>
                <w:i/>
                <w:iCs/>
                <w:sz w:val="18"/>
                <w:szCs w:val="18"/>
              </w:rPr>
              <w:t>We have now qualified this at line 488</w:t>
            </w:r>
          </w:p>
        </w:tc>
      </w:tr>
      <w:tr w:rsidR="004D45AF" w:rsidRPr="00A75EB3" w14:paraId="795D6A2C" w14:textId="77777777" w:rsidTr="000B6C75">
        <w:tc>
          <w:tcPr>
            <w:tcW w:w="538" w:type="dxa"/>
            <w:vAlign w:val="center"/>
          </w:tcPr>
          <w:p w14:paraId="339D2BAD" w14:textId="77777777" w:rsidR="004D45AF" w:rsidRPr="00A75EB3" w:rsidRDefault="004D45AF" w:rsidP="00F70769">
            <w:r w:rsidRPr="00A75EB3">
              <w:rPr>
                <w:rFonts w:ascii="Calibri" w:hAnsi="Calibri" w:cs="Calibri"/>
                <w:sz w:val="18"/>
                <w:szCs w:val="18"/>
              </w:rPr>
              <w:t>78</w:t>
            </w:r>
          </w:p>
        </w:tc>
        <w:tc>
          <w:tcPr>
            <w:tcW w:w="920" w:type="dxa"/>
            <w:vAlign w:val="center"/>
          </w:tcPr>
          <w:p w14:paraId="2FA148EA" w14:textId="77777777" w:rsidR="004D45AF" w:rsidRPr="00A75EB3" w:rsidRDefault="004D45AF" w:rsidP="00F70769">
            <w:r w:rsidRPr="00A75EB3">
              <w:rPr>
                <w:rFonts w:ascii="Calibri" w:hAnsi="Calibri" w:cs="Calibri"/>
                <w:sz w:val="18"/>
                <w:szCs w:val="18"/>
              </w:rPr>
              <w:t>BL</w:t>
            </w:r>
          </w:p>
        </w:tc>
        <w:tc>
          <w:tcPr>
            <w:tcW w:w="6285" w:type="dxa"/>
            <w:vAlign w:val="center"/>
          </w:tcPr>
          <w:p w14:paraId="59771445" w14:textId="77777777" w:rsidR="004D45AF" w:rsidRPr="00A75EB3" w:rsidRDefault="004D45AF" w:rsidP="000B6C75">
            <w:r w:rsidRPr="00A75EB3">
              <w:rPr>
                <w:rFonts w:ascii="Segoe UI" w:hAnsi="Segoe UI" w:cs="Segoe UI"/>
                <w:i/>
                <w:iCs/>
                <w:sz w:val="18"/>
                <w:szCs w:val="18"/>
              </w:rPr>
              <w:t>What is meant here by sub-critical stress and pressure? The event appears to be a relatively rapid opening of a bedding plane rather than any form of slow sub-critical fracture growth?</w:t>
            </w:r>
          </w:p>
        </w:tc>
        <w:tc>
          <w:tcPr>
            <w:tcW w:w="6286" w:type="dxa"/>
            <w:vAlign w:val="center"/>
          </w:tcPr>
          <w:p w14:paraId="48517E0C" w14:textId="77777777" w:rsidR="004D45AF" w:rsidRPr="00A75EB3" w:rsidRDefault="004D45AF" w:rsidP="000B6C75">
            <w:r w:rsidRPr="00A75EB3">
              <w:rPr>
                <w:rFonts w:ascii="Segoe UI" w:hAnsi="Segoe UI" w:cs="Segoe UI"/>
                <w:i/>
                <w:iCs/>
                <w:sz w:val="18"/>
                <w:szCs w:val="18"/>
              </w:rPr>
              <w:t>Sentence has been modified to make it mor clear what we mean.</w:t>
            </w:r>
          </w:p>
        </w:tc>
      </w:tr>
      <w:tr w:rsidR="004D45AF" w:rsidRPr="00A75EB3" w14:paraId="327BD5F3" w14:textId="77777777" w:rsidTr="000B6C75">
        <w:tc>
          <w:tcPr>
            <w:tcW w:w="538" w:type="dxa"/>
            <w:vAlign w:val="center"/>
          </w:tcPr>
          <w:p w14:paraId="0FBF15B2" w14:textId="77777777" w:rsidR="004D45AF" w:rsidRPr="00A75EB3" w:rsidRDefault="004D45AF" w:rsidP="00F70769">
            <w:r w:rsidRPr="00A75EB3">
              <w:rPr>
                <w:rFonts w:ascii="Calibri" w:hAnsi="Calibri" w:cs="Calibri"/>
                <w:sz w:val="18"/>
                <w:szCs w:val="18"/>
              </w:rPr>
              <w:t>79</w:t>
            </w:r>
          </w:p>
        </w:tc>
        <w:tc>
          <w:tcPr>
            <w:tcW w:w="920" w:type="dxa"/>
            <w:vAlign w:val="center"/>
          </w:tcPr>
          <w:p w14:paraId="30AFFCF2" w14:textId="77777777" w:rsidR="004D45AF" w:rsidRPr="00A75EB3" w:rsidRDefault="004D45AF" w:rsidP="00F70769">
            <w:r w:rsidRPr="00A75EB3">
              <w:rPr>
                <w:rFonts w:ascii="Calibri" w:hAnsi="Calibri" w:cs="Calibri"/>
                <w:sz w:val="18"/>
                <w:szCs w:val="18"/>
              </w:rPr>
              <w:t>BL</w:t>
            </w:r>
          </w:p>
        </w:tc>
        <w:tc>
          <w:tcPr>
            <w:tcW w:w="6285" w:type="dxa"/>
            <w:vAlign w:val="center"/>
          </w:tcPr>
          <w:p w14:paraId="6A879AFD" w14:textId="77777777" w:rsidR="004D45AF" w:rsidRPr="00A75EB3" w:rsidRDefault="004D45AF" w:rsidP="000B6C75">
            <w:r w:rsidRPr="00A75EB3">
              <w:rPr>
                <w:rFonts w:ascii="Calibri" w:hAnsi="Calibri" w:cs="Calibri"/>
                <w:sz w:val="18"/>
                <w:szCs w:val="18"/>
              </w:rPr>
              <w:t>bedding at Mont Terri typically dips to SSE? Also boreholes drilled 326/57 normal to dip? So this seems more like the bedding strike direction?</w:t>
            </w:r>
          </w:p>
        </w:tc>
        <w:tc>
          <w:tcPr>
            <w:tcW w:w="6286" w:type="dxa"/>
            <w:vAlign w:val="center"/>
          </w:tcPr>
          <w:p w14:paraId="6F51DC42" w14:textId="38D394E2" w:rsidR="004D45AF" w:rsidRPr="00A75EB3" w:rsidRDefault="004D45AF" w:rsidP="000B6C75">
            <w:r w:rsidRPr="00A75EB3">
              <w:rPr>
                <w:rFonts w:ascii="Segoe UI" w:hAnsi="Segoe UI" w:cs="Segoe UI"/>
                <w:i/>
                <w:iCs/>
                <w:sz w:val="18"/>
                <w:szCs w:val="18"/>
              </w:rPr>
              <w:t xml:space="preserve">Apologies that the coordinate system was not properly described. 225degs is the local GT reference frame, meaning towards 107degrees in geographic reference frame. There is 242 degrees between the two coordinate systems. The text has been modified in multiple places. We have decided to retain the local reference frame and have defined geographic direction where necessary. A table has been added to make this </w:t>
            </w:r>
            <w:r w:rsidR="00C5691F" w:rsidRPr="00A75EB3">
              <w:rPr>
                <w:rFonts w:ascii="Segoe UI" w:hAnsi="Segoe UI" w:cs="Segoe UI"/>
                <w:i/>
                <w:iCs/>
                <w:sz w:val="18"/>
                <w:szCs w:val="18"/>
              </w:rPr>
              <w:t>clearer</w:t>
            </w:r>
            <w:r w:rsidRPr="00A75EB3">
              <w:rPr>
                <w:rFonts w:ascii="Segoe UI" w:hAnsi="Segoe UI" w:cs="Segoe UI"/>
                <w:i/>
                <w:iCs/>
                <w:sz w:val="18"/>
                <w:szCs w:val="18"/>
              </w:rPr>
              <w:t>.</w:t>
            </w:r>
          </w:p>
        </w:tc>
      </w:tr>
      <w:tr w:rsidR="004D45AF" w:rsidRPr="00A75EB3" w14:paraId="7AE39762" w14:textId="77777777" w:rsidTr="000B6C75">
        <w:tc>
          <w:tcPr>
            <w:tcW w:w="538" w:type="dxa"/>
            <w:vAlign w:val="center"/>
          </w:tcPr>
          <w:p w14:paraId="53CB9C6C" w14:textId="77777777" w:rsidR="004D45AF" w:rsidRPr="00A75EB3" w:rsidRDefault="004D45AF" w:rsidP="00F70769">
            <w:r w:rsidRPr="00A75EB3">
              <w:rPr>
                <w:rFonts w:ascii="Calibri" w:hAnsi="Calibri" w:cs="Calibri"/>
                <w:sz w:val="18"/>
                <w:szCs w:val="18"/>
              </w:rPr>
              <w:t>80</w:t>
            </w:r>
          </w:p>
        </w:tc>
        <w:tc>
          <w:tcPr>
            <w:tcW w:w="920" w:type="dxa"/>
            <w:vAlign w:val="center"/>
          </w:tcPr>
          <w:p w14:paraId="453CD092" w14:textId="77777777" w:rsidR="004D45AF" w:rsidRPr="00A75EB3" w:rsidRDefault="004D45AF" w:rsidP="00F70769">
            <w:r w:rsidRPr="00A75EB3">
              <w:rPr>
                <w:rFonts w:ascii="Calibri" w:hAnsi="Calibri" w:cs="Calibri"/>
                <w:sz w:val="18"/>
                <w:szCs w:val="18"/>
              </w:rPr>
              <w:t>BL</w:t>
            </w:r>
          </w:p>
        </w:tc>
        <w:tc>
          <w:tcPr>
            <w:tcW w:w="6285" w:type="dxa"/>
            <w:vAlign w:val="center"/>
          </w:tcPr>
          <w:p w14:paraId="491A5C1D" w14:textId="77777777" w:rsidR="004D45AF" w:rsidRPr="00A75EB3" w:rsidRDefault="004D45AF" w:rsidP="000B6C75">
            <w:r w:rsidRPr="00A75EB3">
              <w:rPr>
                <w:rFonts w:ascii="Segoe UI" w:hAnsi="Segoe UI" w:cs="Segoe UI"/>
                <w:i/>
                <w:iCs/>
                <w:sz w:val="18"/>
                <w:szCs w:val="18"/>
              </w:rPr>
              <w:t>estimated minimum principal stress (Guglielmi et al. 2020)</w:t>
            </w:r>
          </w:p>
        </w:tc>
        <w:tc>
          <w:tcPr>
            <w:tcW w:w="6286" w:type="dxa"/>
            <w:vAlign w:val="center"/>
          </w:tcPr>
          <w:p w14:paraId="134C8DAB" w14:textId="77777777" w:rsidR="004D45AF" w:rsidRPr="00A75EB3" w:rsidRDefault="004D45AF" w:rsidP="000B6C75">
            <w:r w:rsidRPr="00A75EB3">
              <w:rPr>
                <w:rFonts w:ascii="Calibri" w:hAnsi="Calibri" w:cs="Calibri"/>
                <w:sz w:val="18"/>
                <w:szCs w:val="18"/>
              </w:rPr>
              <w:t>Text changed</w:t>
            </w:r>
          </w:p>
        </w:tc>
      </w:tr>
      <w:tr w:rsidR="004D45AF" w:rsidRPr="00A75EB3" w14:paraId="6661BDA8" w14:textId="77777777" w:rsidTr="000B6C75">
        <w:tc>
          <w:tcPr>
            <w:tcW w:w="538" w:type="dxa"/>
            <w:vAlign w:val="center"/>
          </w:tcPr>
          <w:p w14:paraId="083388A2" w14:textId="77777777" w:rsidR="004D45AF" w:rsidRPr="00A75EB3" w:rsidRDefault="004D45AF" w:rsidP="00F70769">
            <w:r w:rsidRPr="00A75EB3">
              <w:rPr>
                <w:rFonts w:ascii="Calibri" w:hAnsi="Calibri" w:cs="Calibri"/>
                <w:sz w:val="18"/>
                <w:szCs w:val="18"/>
              </w:rPr>
              <w:t>81</w:t>
            </w:r>
          </w:p>
        </w:tc>
        <w:tc>
          <w:tcPr>
            <w:tcW w:w="920" w:type="dxa"/>
            <w:vAlign w:val="center"/>
          </w:tcPr>
          <w:p w14:paraId="3C0D7669" w14:textId="77777777" w:rsidR="004D45AF" w:rsidRPr="00A75EB3" w:rsidRDefault="004D45AF" w:rsidP="00F70769">
            <w:r w:rsidRPr="00A75EB3">
              <w:rPr>
                <w:rFonts w:ascii="Calibri" w:hAnsi="Calibri" w:cs="Calibri"/>
                <w:sz w:val="18"/>
                <w:szCs w:val="18"/>
              </w:rPr>
              <w:t>BL</w:t>
            </w:r>
          </w:p>
        </w:tc>
        <w:tc>
          <w:tcPr>
            <w:tcW w:w="6285" w:type="dxa"/>
            <w:vAlign w:val="center"/>
          </w:tcPr>
          <w:p w14:paraId="6B845F87" w14:textId="77777777" w:rsidR="004D45AF" w:rsidRPr="00A75EB3" w:rsidRDefault="004D45AF" w:rsidP="000B6C75">
            <w:r w:rsidRPr="00A75EB3">
              <w:rPr>
                <w:rFonts w:ascii="Segoe UI" w:hAnsi="Segoe UI" w:cs="Segoe UI"/>
                <w:i/>
                <w:iCs/>
                <w:sz w:val="18"/>
                <w:szCs w:val="18"/>
              </w:rPr>
              <w:t>Again I'm puzzled by this dip direction (due West)? Is there a local coordinate system being used?</w:t>
            </w:r>
          </w:p>
        </w:tc>
        <w:tc>
          <w:tcPr>
            <w:tcW w:w="6286" w:type="dxa"/>
            <w:vAlign w:val="center"/>
          </w:tcPr>
          <w:p w14:paraId="50519F86" w14:textId="77777777" w:rsidR="004D45AF" w:rsidRPr="00A75EB3" w:rsidRDefault="004D45AF" w:rsidP="000B6C75">
            <w:r w:rsidRPr="00A75EB3">
              <w:rPr>
                <w:rFonts w:ascii="Segoe UI" w:hAnsi="Segoe UI" w:cs="Segoe UI"/>
                <w:i/>
                <w:iCs/>
                <w:sz w:val="18"/>
                <w:szCs w:val="18"/>
              </w:rPr>
              <w:t>See previous comments, particularly 79.</w:t>
            </w:r>
          </w:p>
        </w:tc>
      </w:tr>
      <w:tr w:rsidR="004D45AF" w:rsidRPr="00A75EB3" w14:paraId="22474FFB" w14:textId="77777777" w:rsidTr="000B6C75">
        <w:tc>
          <w:tcPr>
            <w:tcW w:w="538" w:type="dxa"/>
            <w:vAlign w:val="center"/>
          </w:tcPr>
          <w:p w14:paraId="4EB5B809" w14:textId="77777777" w:rsidR="004D45AF" w:rsidRPr="00A75EB3" w:rsidRDefault="004D45AF" w:rsidP="00F70769">
            <w:r w:rsidRPr="00A75EB3">
              <w:rPr>
                <w:rFonts w:ascii="Calibri" w:hAnsi="Calibri" w:cs="Calibri"/>
                <w:sz w:val="18"/>
                <w:szCs w:val="18"/>
              </w:rPr>
              <w:t>82</w:t>
            </w:r>
          </w:p>
        </w:tc>
        <w:tc>
          <w:tcPr>
            <w:tcW w:w="920" w:type="dxa"/>
            <w:vAlign w:val="center"/>
          </w:tcPr>
          <w:p w14:paraId="2C622197" w14:textId="77777777" w:rsidR="004D45AF" w:rsidRPr="00A75EB3" w:rsidRDefault="004D45AF" w:rsidP="00F70769">
            <w:r w:rsidRPr="00A75EB3">
              <w:rPr>
                <w:rFonts w:ascii="Calibri" w:hAnsi="Calibri" w:cs="Calibri"/>
                <w:sz w:val="18"/>
                <w:szCs w:val="18"/>
              </w:rPr>
              <w:t>BL</w:t>
            </w:r>
          </w:p>
        </w:tc>
        <w:tc>
          <w:tcPr>
            <w:tcW w:w="6285" w:type="dxa"/>
            <w:vAlign w:val="center"/>
          </w:tcPr>
          <w:p w14:paraId="4BAF5C0C" w14:textId="77777777" w:rsidR="004D45AF" w:rsidRPr="00A75EB3" w:rsidRDefault="004D45AF" w:rsidP="000B6C75">
            <w:r w:rsidRPr="00A75EB3">
              <w:rPr>
                <w:rFonts w:ascii="Segoe UI" w:hAnsi="Segoe UI" w:cs="Segoe UI"/>
                <w:i/>
                <w:iCs/>
                <w:sz w:val="18"/>
                <w:szCs w:val="18"/>
              </w:rPr>
              <w:t>See earlier comment about "sub-critical"</w:t>
            </w:r>
          </w:p>
        </w:tc>
        <w:tc>
          <w:tcPr>
            <w:tcW w:w="6286" w:type="dxa"/>
            <w:vAlign w:val="center"/>
          </w:tcPr>
          <w:p w14:paraId="216B090F" w14:textId="77777777" w:rsidR="004D45AF" w:rsidRPr="00A75EB3" w:rsidRDefault="004D45AF" w:rsidP="000B6C75">
            <w:r w:rsidRPr="00A75EB3">
              <w:rPr>
                <w:rFonts w:ascii="Segoe UI" w:hAnsi="Segoe UI" w:cs="Segoe UI"/>
                <w:i/>
                <w:iCs/>
                <w:sz w:val="18"/>
                <w:szCs w:val="18"/>
              </w:rPr>
              <w:t>Modified in light of changes made earlier.</w:t>
            </w:r>
          </w:p>
        </w:tc>
      </w:tr>
      <w:tr w:rsidR="004D45AF" w:rsidRPr="00A75EB3" w14:paraId="5EAF8C54" w14:textId="77777777" w:rsidTr="000B6C75">
        <w:tc>
          <w:tcPr>
            <w:tcW w:w="538" w:type="dxa"/>
            <w:vAlign w:val="center"/>
          </w:tcPr>
          <w:p w14:paraId="24D40742" w14:textId="77777777" w:rsidR="004D45AF" w:rsidRPr="00A75EB3" w:rsidRDefault="004D45AF" w:rsidP="00F70769">
            <w:r w:rsidRPr="00A75EB3">
              <w:rPr>
                <w:rFonts w:ascii="Calibri" w:hAnsi="Calibri" w:cs="Calibri"/>
                <w:sz w:val="18"/>
                <w:szCs w:val="18"/>
              </w:rPr>
              <w:t>83</w:t>
            </w:r>
          </w:p>
        </w:tc>
        <w:tc>
          <w:tcPr>
            <w:tcW w:w="920" w:type="dxa"/>
            <w:vAlign w:val="center"/>
          </w:tcPr>
          <w:p w14:paraId="752735DB" w14:textId="77777777" w:rsidR="004D45AF" w:rsidRPr="00A75EB3" w:rsidRDefault="004D45AF" w:rsidP="00F70769">
            <w:r w:rsidRPr="00A75EB3">
              <w:rPr>
                <w:rFonts w:ascii="Calibri" w:hAnsi="Calibri" w:cs="Calibri"/>
                <w:sz w:val="18"/>
                <w:szCs w:val="18"/>
              </w:rPr>
              <w:t>BL</w:t>
            </w:r>
          </w:p>
        </w:tc>
        <w:tc>
          <w:tcPr>
            <w:tcW w:w="6285" w:type="dxa"/>
            <w:vAlign w:val="center"/>
          </w:tcPr>
          <w:p w14:paraId="7C4A0C50" w14:textId="77777777" w:rsidR="004D45AF" w:rsidRPr="00A75EB3" w:rsidRDefault="004D45AF" w:rsidP="000B6C75">
            <w:r w:rsidRPr="00A75EB3">
              <w:rPr>
                <w:rFonts w:ascii="Segoe UI" w:hAnsi="Segoe UI" w:cs="Segoe UI"/>
                <w:i/>
                <w:iCs/>
                <w:sz w:val="18"/>
                <w:szCs w:val="18"/>
              </w:rPr>
              <w:t>Doesn't it indicate sustained flow?</w:t>
            </w:r>
          </w:p>
        </w:tc>
        <w:tc>
          <w:tcPr>
            <w:tcW w:w="6286" w:type="dxa"/>
            <w:vAlign w:val="center"/>
          </w:tcPr>
          <w:p w14:paraId="3FC75FB5" w14:textId="77777777" w:rsidR="004D45AF" w:rsidRPr="00A75EB3" w:rsidRDefault="004D45AF" w:rsidP="000B6C75">
            <w:r w:rsidRPr="00A75EB3">
              <w:rPr>
                <w:rFonts w:ascii="Segoe UI" w:hAnsi="Segoe UI" w:cs="Segoe UI"/>
                <w:i/>
                <w:iCs/>
                <w:sz w:val="18"/>
                <w:szCs w:val="18"/>
              </w:rPr>
              <w:t>Modified.</w:t>
            </w:r>
          </w:p>
        </w:tc>
      </w:tr>
      <w:tr w:rsidR="004D45AF" w:rsidRPr="00A75EB3" w14:paraId="1084D014" w14:textId="77777777" w:rsidTr="000B6C75">
        <w:tc>
          <w:tcPr>
            <w:tcW w:w="538" w:type="dxa"/>
            <w:vAlign w:val="center"/>
          </w:tcPr>
          <w:p w14:paraId="0FA749BC" w14:textId="77777777" w:rsidR="004D45AF" w:rsidRPr="00A75EB3" w:rsidRDefault="004D45AF" w:rsidP="00F70769">
            <w:r w:rsidRPr="00A75EB3">
              <w:rPr>
                <w:rFonts w:ascii="Calibri" w:hAnsi="Calibri" w:cs="Calibri"/>
                <w:sz w:val="18"/>
                <w:szCs w:val="18"/>
              </w:rPr>
              <w:t>84</w:t>
            </w:r>
          </w:p>
        </w:tc>
        <w:tc>
          <w:tcPr>
            <w:tcW w:w="920" w:type="dxa"/>
            <w:vAlign w:val="center"/>
          </w:tcPr>
          <w:p w14:paraId="1FC47542" w14:textId="77777777" w:rsidR="004D45AF" w:rsidRPr="00A75EB3" w:rsidRDefault="004D45AF" w:rsidP="00F70769">
            <w:r w:rsidRPr="00A75EB3">
              <w:rPr>
                <w:rFonts w:ascii="Calibri" w:hAnsi="Calibri" w:cs="Calibri"/>
                <w:sz w:val="18"/>
                <w:szCs w:val="18"/>
              </w:rPr>
              <w:t>BL</w:t>
            </w:r>
          </w:p>
        </w:tc>
        <w:tc>
          <w:tcPr>
            <w:tcW w:w="6285" w:type="dxa"/>
            <w:vAlign w:val="center"/>
          </w:tcPr>
          <w:p w14:paraId="4ED33526" w14:textId="77777777" w:rsidR="004D45AF" w:rsidRPr="00A75EB3" w:rsidRDefault="004D45AF" w:rsidP="000B6C75">
            <w:r w:rsidRPr="00A75EB3">
              <w:rPr>
                <w:rFonts w:ascii="Segoe UI" w:hAnsi="Segoe UI" w:cs="Segoe UI"/>
                <w:i/>
                <w:iCs/>
                <w:sz w:val="18"/>
                <w:szCs w:val="18"/>
              </w:rPr>
              <w:t>Nussbaum</w:t>
            </w:r>
          </w:p>
        </w:tc>
        <w:tc>
          <w:tcPr>
            <w:tcW w:w="6286" w:type="dxa"/>
            <w:vAlign w:val="center"/>
          </w:tcPr>
          <w:p w14:paraId="17AADA49" w14:textId="77777777" w:rsidR="004D45AF" w:rsidRPr="00A75EB3" w:rsidRDefault="004D45AF" w:rsidP="000B6C75">
            <w:r w:rsidRPr="00A75EB3">
              <w:rPr>
                <w:rFonts w:ascii="Segoe UI" w:hAnsi="Segoe UI" w:cs="Segoe UI"/>
                <w:i/>
                <w:iCs/>
                <w:sz w:val="18"/>
                <w:szCs w:val="18"/>
              </w:rPr>
              <w:t>Typo corrected</w:t>
            </w:r>
          </w:p>
        </w:tc>
      </w:tr>
      <w:tr w:rsidR="004D45AF" w:rsidRPr="00A75EB3" w14:paraId="10439058" w14:textId="77777777" w:rsidTr="000B6C75">
        <w:tc>
          <w:tcPr>
            <w:tcW w:w="538" w:type="dxa"/>
            <w:vAlign w:val="center"/>
          </w:tcPr>
          <w:p w14:paraId="522F5386" w14:textId="77777777" w:rsidR="004D45AF" w:rsidRPr="00A75EB3" w:rsidRDefault="004D45AF" w:rsidP="00F70769">
            <w:r w:rsidRPr="00A75EB3">
              <w:rPr>
                <w:rFonts w:ascii="Calibri" w:hAnsi="Calibri" w:cs="Calibri"/>
                <w:sz w:val="18"/>
                <w:szCs w:val="18"/>
              </w:rPr>
              <w:t>85</w:t>
            </w:r>
          </w:p>
        </w:tc>
        <w:tc>
          <w:tcPr>
            <w:tcW w:w="920" w:type="dxa"/>
            <w:vAlign w:val="center"/>
          </w:tcPr>
          <w:p w14:paraId="7CA427B9" w14:textId="77777777" w:rsidR="004D45AF" w:rsidRPr="00A75EB3" w:rsidRDefault="004D45AF" w:rsidP="00F70769">
            <w:r w:rsidRPr="00A75EB3">
              <w:rPr>
                <w:rFonts w:ascii="Calibri" w:hAnsi="Calibri" w:cs="Calibri"/>
                <w:sz w:val="18"/>
                <w:szCs w:val="18"/>
              </w:rPr>
              <w:t>BL</w:t>
            </w:r>
          </w:p>
        </w:tc>
        <w:tc>
          <w:tcPr>
            <w:tcW w:w="6285" w:type="dxa"/>
            <w:vAlign w:val="center"/>
          </w:tcPr>
          <w:p w14:paraId="4094E190" w14:textId="77777777" w:rsidR="004D45AF" w:rsidRPr="00A75EB3" w:rsidRDefault="004D45AF" w:rsidP="000B6C75">
            <w:proofErr w:type="spellStart"/>
            <w:r w:rsidRPr="00A75EB3">
              <w:rPr>
                <w:rFonts w:ascii="Segoe UI" w:hAnsi="Segoe UI" w:cs="Segoe UI"/>
                <w:i/>
                <w:iCs/>
                <w:sz w:val="18"/>
                <w:szCs w:val="18"/>
              </w:rPr>
              <w:t>Solexperts</w:t>
            </w:r>
            <w:proofErr w:type="spellEnd"/>
            <w:r w:rsidRPr="00A75EB3">
              <w:rPr>
                <w:rFonts w:ascii="Segoe UI" w:hAnsi="Segoe UI" w:cs="Segoe UI"/>
                <w:i/>
                <w:iCs/>
                <w:sz w:val="18"/>
                <w:szCs w:val="18"/>
              </w:rPr>
              <w:t xml:space="preserve"> I don't think they capitalise the E</w:t>
            </w:r>
          </w:p>
        </w:tc>
        <w:tc>
          <w:tcPr>
            <w:tcW w:w="6286" w:type="dxa"/>
            <w:vAlign w:val="center"/>
          </w:tcPr>
          <w:p w14:paraId="2A9E26CF" w14:textId="77777777" w:rsidR="004D45AF" w:rsidRPr="00A75EB3" w:rsidRDefault="004D45AF" w:rsidP="000B6C75">
            <w:r w:rsidRPr="00A75EB3">
              <w:rPr>
                <w:rFonts w:ascii="Segoe UI" w:hAnsi="Segoe UI" w:cs="Segoe UI"/>
                <w:i/>
                <w:iCs/>
                <w:sz w:val="18"/>
                <w:szCs w:val="18"/>
              </w:rPr>
              <w:t>Typo corrected</w:t>
            </w:r>
          </w:p>
        </w:tc>
      </w:tr>
      <w:tr w:rsidR="004D45AF" w:rsidRPr="00A75EB3" w14:paraId="74E46618" w14:textId="77777777" w:rsidTr="000B6C75">
        <w:tc>
          <w:tcPr>
            <w:tcW w:w="538" w:type="dxa"/>
            <w:vAlign w:val="center"/>
          </w:tcPr>
          <w:p w14:paraId="0B053BD7" w14:textId="77777777" w:rsidR="004D45AF" w:rsidRPr="00A75EB3" w:rsidRDefault="004D45AF" w:rsidP="00F70769">
            <w:r w:rsidRPr="00A75EB3">
              <w:rPr>
                <w:rFonts w:ascii="Calibri" w:hAnsi="Calibri" w:cs="Calibri"/>
                <w:sz w:val="18"/>
                <w:szCs w:val="18"/>
              </w:rPr>
              <w:t>86</w:t>
            </w:r>
          </w:p>
        </w:tc>
        <w:tc>
          <w:tcPr>
            <w:tcW w:w="920" w:type="dxa"/>
            <w:vAlign w:val="center"/>
          </w:tcPr>
          <w:p w14:paraId="62D55F99" w14:textId="77777777" w:rsidR="004D45AF" w:rsidRPr="00A75EB3" w:rsidRDefault="004D45AF" w:rsidP="00F70769">
            <w:r w:rsidRPr="00A75EB3">
              <w:rPr>
                <w:rFonts w:ascii="Calibri" w:hAnsi="Calibri" w:cs="Calibri"/>
                <w:sz w:val="18"/>
                <w:szCs w:val="18"/>
              </w:rPr>
              <w:t>BL</w:t>
            </w:r>
          </w:p>
        </w:tc>
        <w:tc>
          <w:tcPr>
            <w:tcW w:w="6285" w:type="dxa"/>
            <w:vAlign w:val="center"/>
          </w:tcPr>
          <w:p w14:paraId="2EC16F23" w14:textId="77777777" w:rsidR="004D45AF" w:rsidRPr="00A75EB3" w:rsidRDefault="004D45AF" w:rsidP="000B6C75">
            <w:r w:rsidRPr="00A75EB3">
              <w:rPr>
                <w:rFonts w:ascii="Segoe UI" w:hAnsi="Segoe UI" w:cs="Segoe UI"/>
                <w:i/>
                <w:iCs/>
                <w:sz w:val="18"/>
                <w:szCs w:val="18"/>
              </w:rPr>
              <w:t>Is the report publicly available?</w:t>
            </w:r>
          </w:p>
        </w:tc>
        <w:tc>
          <w:tcPr>
            <w:tcW w:w="6286" w:type="dxa"/>
            <w:vAlign w:val="center"/>
          </w:tcPr>
          <w:p w14:paraId="4DD16389" w14:textId="77777777" w:rsidR="004D45AF" w:rsidRPr="00A75EB3" w:rsidRDefault="004D45AF" w:rsidP="000B6C75">
            <w:r w:rsidRPr="00A75EB3">
              <w:rPr>
                <w:rFonts w:ascii="Segoe UI" w:hAnsi="Segoe UI" w:cs="Segoe UI"/>
                <w:i/>
                <w:iCs/>
                <w:sz w:val="18"/>
                <w:szCs w:val="18"/>
              </w:rPr>
              <w:t>It is now. Apologies that it wasn’t during review.</w:t>
            </w:r>
          </w:p>
        </w:tc>
      </w:tr>
      <w:tr w:rsidR="004D45AF" w:rsidRPr="00A75EB3" w14:paraId="78A2A2E1" w14:textId="77777777" w:rsidTr="000B6C75">
        <w:tc>
          <w:tcPr>
            <w:tcW w:w="538" w:type="dxa"/>
            <w:vAlign w:val="center"/>
          </w:tcPr>
          <w:p w14:paraId="792D9310" w14:textId="77777777" w:rsidR="004D45AF" w:rsidRPr="00A75EB3" w:rsidRDefault="004D45AF" w:rsidP="00F70769">
            <w:r w:rsidRPr="00A75EB3">
              <w:rPr>
                <w:rFonts w:ascii="Calibri" w:hAnsi="Calibri" w:cs="Calibri"/>
                <w:sz w:val="18"/>
                <w:szCs w:val="18"/>
              </w:rPr>
              <w:t>87</w:t>
            </w:r>
          </w:p>
        </w:tc>
        <w:tc>
          <w:tcPr>
            <w:tcW w:w="920" w:type="dxa"/>
            <w:vAlign w:val="center"/>
          </w:tcPr>
          <w:p w14:paraId="646FBFD3" w14:textId="77777777" w:rsidR="004D45AF" w:rsidRPr="00A75EB3" w:rsidRDefault="004D45AF" w:rsidP="00F70769">
            <w:r w:rsidRPr="00A75EB3">
              <w:rPr>
                <w:rFonts w:ascii="Calibri" w:hAnsi="Calibri" w:cs="Calibri"/>
                <w:sz w:val="18"/>
                <w:szCs w:val="18"/>
              </w:rPr>
              <w:t>BL</w:t>
            </w:r>
          </w:p>
        </w:tc>
        <w:tc>
          <w:tcPr>
            <w:tcW w:w="6285" w:type="dxa"/>
            <w:vAlign w:val="center"/>
          </w:tcPr>
          <w:p w14:paraId="2E1EFAF6" w14:textId="77777777" w:rsidR="004D45AF" w:rsidRPr="00A75EB3" w:rsidRDefault="004D45AF" w:rsidP="000B6C75">
            <w:r w:rsidRPr="00A75EB3">
              <w:rPr>
                <w:rFonts w:ascii="Segoe UI" w:hAnsi="Segoe UI" w:cs="Segoe UI"/>
                <w:i/>
                <w:iCs/>
                <w:sz w:val="18"/>
                <w:szCs w:val="18"/>
              </w:rPr>
              <w:t>?</w:t>
            </w:r>
          </w:p>
        </w:tc>
        <w:tc>
          <w:tcPr>
            <w:tcW w:w="6286" w:type="dxa"/>
            <w:vAlign w:val="center"/>
          </w:tcPr>
          <w:p w14:paraId="758E8C20" w14:textId="191E58A2" w:rsidR="004D45AF" w:rsidRPr="00A75EB3" w:rsidRDefault="004D45AF" w:rsidP="000B6C75">
            <w:r w:rsidRPr="00A75EB3">
              <w:rPr>
                <w:rFonts w:ascii="Segoe UI" w:hAnsi="Segoe UI" w:cs="Segoe UI"/>
                <w:i/>
                <w:iCs/>
                <w:sz w:val="18"/>
                <w:szCs w:val="18"/>
              </w:rPr>
              <w:t xml:space="preserve">Typo </w:t>
            </w:r>
            <w:r w:rsidR="00A75EB3" w:rsidRPr="00A75EB3">
              <w:rPr>
                <w:rFonts w:ascii="Segoe UI" w:hAnsi="Segoe UI" w:cs="Segoe UI"/>
                <w:i/>
                <w:iCs/>
                <w:sz w:val="18"/>
                <w:szCs w:val="18"/>
              </w:rPr>
              <w:t>corrected</w:t>
            </w:r>
          </w:p>
        </w:tc>
      </w:tr>
    </w:tbl>
    <w:p w14:paraId="3DACC6C0" w14:textId="77777777" w:rsidR="004D45AF" w:rsidRDefault="004D45AF"/>
    <w:sectPr w:rsidR="004D45AF" w:rsidSect="004D45AF">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DD9"/>
    <w:rsid w:val="000B6C75"/>
    <w:rsid w:val="000D2C3F"/>
    <w:rsid w:val="001D20F4"/>
    <w:rsid w:val="001F24CC"/>
    <w:rsid w:val="00334A07"/>
    <w:rsid w:val="0033749A"/>
    <w:rsid w:val="0035096D"/>
    <w:rsid w:val="00495836"/>
    <w:rsid w:val="004D45AF"/>
    <w:rsid w:val="006326AF"/>
    <w:rsid w:val="00644B88"/>
    <w:rsid w:val="006A316E"/>
    <w:rsid w:val="006C481B"/>
    <w:rsid w:val="00790239"/>
    <w:rsid w:val="007968F7"/>
    <w:rsid w:val="007E6F4E"/>
    <w:rsid w:val="008E0859"/>
    <w:rsid w:val="008E78F1"/>
    <w:rsid w:val="009649DB"/>
    <w:rsid w:val="009819E1"/>
    <w:rsid w:val="009B3088"/>
    <w:rsid w:val="00A13DD9"/>
    <w:rsid w:val="00A14218"/>
    <w:rsid w:val="00A33A62"/>
    <w:rsid w:val="00A51114"/>
    <w:rsid w:val="00A75EB3"/>
    <w:rsid w:val="00B25AC2"/>
    <w:rsid w:val="00B43A7A"/>
    <w:rsid w:val="00B66ABB"/>
    <w:rsid w:val="00BB70AA"/>
    <w:rsid w:val="00C454A3"/>
    <w:rsid w:val="00C5691F"/>
    <w:rsid w:val="00D75A46"/>
    <w:rsid w:val="00E11CF4"/>
    <w:rsid w:val="00E82941"/>
    <w:rsid w:val="00F44F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1EA31"/>
  <w15:chartTrackingRefBased/>
  <w15:docId w15:val="{E1EFCFF5-5213-430B-9E16-210C0765A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13D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13D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3D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3D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3D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3D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3D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3D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3D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3D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3D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3D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3D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3D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3D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3D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3D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3DD9"/>
    <w:rPr>
      <w:rFonts w:eastAsiaTheme="majorEastAsia" w:cstheme="majorBidi"/>
      <w:color w:val="272727" w:themeColor="text1" w:themeTint="D8"/>
    </w:rPr>
  </w:style>
  <w:style w:type="paragraph" w:styleId="Title">
    <w:name w:val="Title"/>
    <w:basedOn w:val="Normal"/>
    <w:next w:val="Normal"/>
    <w:link w:val="TitleChar"/>
    <w:uiPriority w:val="10"/>
    <w:qFormat/>
    <w:rsid w:val="00A13D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3D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3D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3D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3DD9"/>
    <w:pPr>
      <w:spacing w:before="160"/>
      <w:jc w:val="center"/>
    </w:pPr>
    <w:rPr>
      <w:i/>
      <w:iCs/>
      <w:color w:val="404040" w:themeColor="text1" w:themeTint="BF"/>
    </w:rPr>
  </w:style>
  <w:style w:type="character" w:customStyle="1" w:styleId="QuoteChar">
    <w:name w:val="Quote Char"/>
    <w:basedOn w:val="DefaultParagraphFont"/>
    <w:link w:val="Quote"/>
    <w:uiPriority w:val="29"/>
    <w:rsid w:val="00A13DD9"/>
    <w:rPr>
      <w:i/>
      <w:iCs/>
      <w:color w:val="404040" w:themeColor="text1" w:themeTint="BF"/>
    </w:rPr>
  </w:style>
  <w:style w:type="paragraph" w:styleId="ListParagraph">
    <w:name w:val="List Paragraph"/>
    <w:basedOn w:val="Normal"/>
    <w:uiPriority w:val="34"/>
    <w:qFormat/>
    <w:rsid w:val="00A13DD9"/>
    <w:pPr>
      <w:ind w:left="720"/>
      <w:contextualSpacing/>
    </w:pPr>
  </w:style>
  <w:style w:type="character" w:styleId="IntenseEmphasis">
    <w:name w:val="Intense Emphasis"/>
    <w:basedOn w:val="DefaultParagraphFont"/>
    <w:uiPriority w:val="21"/>
    <w:qFormat/>
    <w:rsid w:val="00A13DD9"/>
    <w:rPr>
      <w:i/>
      <w:iCs/>
      <w:color w:val="0F4761" w:themeColor="accent1" w:themeShade="BF"/>
    </w:rPr>
  </w:style>
  <w:style w:type="paragraph" w:styleId="IntenseQuote">
    <w:name w:val="Intense Quote"/>
    <w:basedOn w:val="Normal"/>
    <w:next w:val="Normal"/>
    <w:link w:val="IntenseQuoteChar"/>
    <w:uiPriority w:val="30"/>
    <w:qFormat/>
    <w:rsid w:val="00A13D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3DD9"/>
    <w:rPr>
      <w:i/>
      <w:iCs/>
      <w:color w:val="0F4761" w:themeColor="accent1" w:themeShade="BF"/>
    </w:rPr>
  </w:style>
  <w:style w:type="character" w:styleId="IntenseReference">
    <w:name w:val="Intense Reference"/>
    <w:basedOn w:val="DefaultParagraphFont"/>
    <w:uiPriority w:val="32"/>
    <w:qFormat/>
    <w:rsid w:val="00A13DD9"/>
    <w:rPr>
      <w:b/>
      <w:bCs/>
      <w:smallCaps/>
      <w:color w:val="0F4761" w:themeColor="accent1" w:themeShade="BF"/>
      <w:spacing w:val="5"/>
    </w:rPr>
  </w:style>
  <w:style w:type="table" w:styleId="TableGrid">
    <w:name w:val="Table Grid"/>
    <w:basedOn w:val="TableNormal"/>
    <w:uiPriority w:val="39"/>
    <w:rsid w:val="007902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928</TotalTime>
  <Pages>9</Pages>
  <Words>5106</Words>
  <Characters>29110</Characters>
  <Application>Microsoft Office Word</Application>
  <DocSecurity>0</DocSecurity>
  <Lines>242</Lines>
  <Paragraphs>68</Paragraphs>
  <ScaleCrop>false</ScaleCrop>
  <Company/>
  <LinksUpToDate>false</LinksUpToDate>
  <CharactersWithSpaces>34148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Cuss - BGS</dc:creator>
  <cp:keywords/>
  <dc:description/>
  <cp:lastModifiedBy>Robert Cuss - BGS</cp:lastModifiedBy>
  <cp:revision>27</cp:revision>
  <dcterms:created xsi:type="dcterms:W3CDTF">2026-08-12T15:47:00Z</dcterms:created>
  <dcterms:modified xsi:type="dcterms:W3CDTF">2026-08-13T07:15:00Z</dcterms:modified>
</cp:coreProperties>
</file>